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Finanz-DATA GmbH Beratungs- und Softwarehaus</w:t>
      </w:r>
    </w:p>
    <w:p>
      <w:pPr>
        <w:spacing w:after="0" w:before="0"/>
      </w:pPr>
      <w:r>
        <w:rPr>
          <w:rFonts w:ascii="Arial" w:hAnsi="Arial" w:eastAsia="Arial"/>
          <w:b w:val="0"/>
          <w:sz w:val="20"/>
        </w:rPr>
        <w:t>Personalabteilung</w:t>
      </w:r>
    </w:p>
    <w:p>
      <w:pPr>
        <w:spacing w:after="0" w:before="0"/>
      </w:pPr>
      <w:r>
        <w:rPr>
          <w:rFonts w:ascii="Arial" w:hAnsi="Arial" w:eastAsia="Arial"/>
          <w:b w:val="0"/>
          <w:sz w:val="20"/>
        </w:rPr>
        <w:t>Gotha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im Bereich Java Anwendungen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 | Werkstudent im Bereich Java Anwendungen“ bei Finanz-DATA GmbH Beratungs- und Softwarehaus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JavaScript/TypeScript,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