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MARCARD MEDIA</w:t>
      </w:r>
    </w:p>
    <w:p>
      <w:pPr>
        <w:spacing w:after="0" w:before="0"/>
      </w:pPr>
      <w:r>
        <w:rPr>
          <w:rFonts w:ascii="Arial" w:hAnsi="Arial" w:eastAsia="Arial"/>
          <w:b w:val="0"/>
          <w:sz w:val="20"/>
        </w:rPr>
        <w:t>Personalabteilung</w:t>
      </w:r>
    </w:p>
    <w:p>
      <w:pPr>
        <w:spacing w:after="0" w:before="0"/>
      </w:pPr>
      <w:r>
        <w:rPr>
          <w:rFonts w:ascii="Arial" w:hAnsi="Arial" w:eastAsia="Arial"/>
          <w:b w:val="0"/>
          <w:sz w:val="20"/>
        </w:rPr>
        <w:t>70771 Leinfelden-Echterdingen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Webdevelopment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Webdevelopment“ bei MARCARD MEDIA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