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meinestadt.de</w:t>
      </w:r>
    </w:p>
    <w:p>
      <w:pPr>
        <w:spacing w:after="0" w:before="0"/>
      </w:pPr>
      <w:r>
        <w:rPr>
          <w:rFonts w:ascii="Arial" w:hAnsi="Arial" w:eastAsia="Arial"/>
          <w:b w:val="0"/>
          <w:sz w:val="20"/>
        </w:rPr>
        <w:t>Personalabteilung</w:t>
      </w:r>
    </w:p>
    <w:p>
      <w:pPr>
        <w:spacing w:after="0" w:before="0"/>
      </w:pPr>
      <w:r>
        <w:rPr>
          <w:rFonts w:ascii="Arial" w:hAnsi="Arial" w:eastAsia="Arial"/>
          <w:b w:val="0"/>
          <w:sz w:val="20"/>
        </w:rPr>
        <w:t>Pinneberg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Nachhaltigkeit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Bereich Nachhaltigkeit“ bei meinestadt.de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