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Kostal &amp; Co. GmbH Kunststoffverarbeitung und Werkzeugbau</w:t>
      </w:r>
    </w:p>
    <w:p>
      <w:pPr>
        <w:spacing w:after="0" w:before="0"/>
      </w:pPr>
      <w:r>
        <w:rPr>
          <w:rFonts w:ascii="Arial" w:hAnsi="Arial" w:eastAsia="Arial"/>
          <w:b w:val="0"/>
          <w:sz w:val="20"/>
        </w:rPr>
        <w:t>Personalabteilung</w:t>
      </w:r>
    </w:p>
    <w:p>
      <w:pPr>
        <w:spacing w:after="0" w:before="0"/>
      </w:pPr>
      <w:r>
        <w:rPr>
          <w:rFonts w:ascii="Arial" w:hAnsi="Arial" w:eastAsia="Arial"/>
          <w:b w:val="0"/>
          <w:sz w:val="20"/>
        </w:rPr>
        <w:t>Lüdenscheid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Industrialisierung Kunststofftechnik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Industrialisierung Kunststofftechnik“ bei Kostal &amp; Co. GmbH Kunststoffverarbeitung und Werkzeugbau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