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Deloitte</w:t>
      </w:r>
    </w:p>
    <w:p>
      <w:pPr>
        <w:spacing w:after="0" w:before="0"/>
      </w:pPr>
      <w:r>
        <w:rPr>
          <w:rFonts w:ascii="Arial" w:hAnsi="Arial" w:eastAsia="Arial"/>
          <w:b w:val="0"/>
          <w:sz w:val="20"/>
        </w:rPr>
        <w:t>Personalabteilung</w:t>
      </w:r>
    </w:p>
    <w:p>
      <w:pPr>
        <w:spacing w:after="0" w:before="0"/>
      </w:pPr>
      <w:r>
        <w:rPr>
          <w:rFonts w:ascii="Arial" w:hAnsi="Arial" w:eastAsia="Arial"/>
          <w:b w:val="0"/>
          <w:sz w:val="20"/>
        </w:rPr>
        <w:t>Düsseldorf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Learning &amp; Development - Technology &amp; AI</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Learning &amp; Development - Technology &amp; AI“ bei Deloitte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