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L'Occitane en Provence</w:t>
      </w:r>
    </w:p>
    <w:p>
      <w:pPr>
        <w:spacing w:after="0" w:before="0"/>
      </w:pPr>
      <w:r>
        <w:rPr>
          <w:rFonts w:ascii="Arial" w:hAnsi="Arial" w:eastAsia="Arial"/>
          <w:b w:val="0"/>
          <w:sz w:val="20"/>
        </w:rPr>
        <w:t>Personalabteilung</w:t>
      </w:r>
    </w:p>
    <w:p>
      <w:pPr>
        <w:spacing w:after="0" w:before="0"/>
      </w:pPr>
      <w:r>
        <w:rPr>
          <w:rFonts w:ascii="Arial" w:hAnsi="Arial" w:eastAsia="Arial"/>
          <w:b w:val="0"/>
          <w:sz w:val="20"/>
        </w:rPr>
        <w:t>40210 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CRM &amp; Customer Data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CRM &amp; Customer Data Management“ bei L'Occitane en Provence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