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RGT Treuhand GmbH Wirtschaftsberatungsgesellschaft Steuerberatungsgesellschaft</w:t>
      </w:r>
    </w:p>
    <w:p>
      <w:pPr>
        <w:spacing w:after="0" w:before="0"/>
      </w:pPr>
      <w:r>
        <w:rPr>
          <w:rFonts w:ascii="Arial" w:hAnsi="Arial" w:eastAsia="Arial"/>
          <w:b w:val="0"/>
          <w:sz w:val="20"/>
        </w:rPr>
        <w:t>Personalabteilung</w:t>
      </w:r>
    </w:p>
    <w:p>
      <w:pPr>
        <w:spacing w:after="0" w:before="0"/>
      </w:pPr>
      <w:r>
        <w:rPr>
          <w:rFonts w:ascii="Arial" w:hAnsi="Arial" w:eastAsia="Arial"/>
          <w:b w:val="0"/>
          <w:sz w:val="20"/>
        </w:rPr>
        <w:t>60329 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bei RGT Treuhand GmbH Wirtschaftsberatungsgesellschaft Steuerberatungsgesellschaft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