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CBRE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ESG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ESG“ bei CBRE GmbH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