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EB - Sustainable Investment Management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Risk Management Real Assets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Risk Management Real Assets“ bei EB - Sustainable Investment Management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Risikomanagement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