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CEWE Stiftung &amp; Co. KGaA</w:t>
      </w:r>
    </w:p>
    <w:p>
      <w:pPr>
        <w:spacing w:after="0" w:before="0"/>
      </w:pPr>
      <w:r>
        <w:rPr>
          <w:rFonts w:ascii="Arial" w:hAnsi="Arial" w:eastAsia="Arial"/>
          <w:b w:val="0"/>
          <w:sz w:val="20"/>
        </w:rPr>
        <w:t>Personalabteilung</w:t>
      </w:r>
    </w:p>
    <w:p>
      <w:pPr>
        <w:spacing w:after="0" w:before="0"/>
      </w:pPr>
      <w:r>
        <w:rPr>
          <w:rFonts w:ascii="Arial" w:hAnsi="Arial" w:eastAsia="Arial"/>
          <w:b w:val="0"/>
          <w:sz w:val="20"/>
        </w:rPr>
        <w:t>Oldenburg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 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 Support“ bei CEWE Stiftung &amp; Co. KGaA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