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Handwerkskammer der Pfalz</w:t>
      </w:r>
    </w:p>
    <w:p>
      <w:pPr>
        <w:spacing w:after="0" w:before="0"/>
      </w:pPr>
      <w:r>
        <w:rPr>
          <w:rFonts w:ascii="Arial" w:hAnsi="Arial" w:eastAsia="Arial"/>
          <w:b w:val="0"/>
          <w:sz w:val="20"/>
        </w:rPr>
        <w:t>Personalabteilung</w:t>
      </w:r>
    </w:p>
    <w:p>
      <w:pPr>
        <w:spacing w:after="0" w:before="0"/>
      </w:pPr>
      <w:r>
        <w:rPr>
          <w:rFonts w:ascii="Arial" w:hAnsi="Arial" w:eastAsia="Arial"/>
          <w:b w:val="0"/>
          <w:sz w:val="20"/>
        </w:rPr>
        <w:t>Kaiserslautern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 oder Sanitär-, Heizungs- und Klimatechnik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Elektrotechnik oder Sanitär-, Heizungs- und Klimatechnik“ bei Handwerkskammer der Pfalz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