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Mainwebsolutions</w:t>
      </w:r>
    </w:p>
    <w:p>
      <w:pPr>
        <w:spacing w:after="0" w:before="0"/>
      </w:pPr>
      <w:r>
        <w:rPr>
          <w:rFonts w:ascii="Arial" w:hAnsi="Arial" w:eastAsia="Arial"/>
          <w:b w:val="0"/>
          <w:sz w:val="20"/>
        </w:rPr>
        <w:t>Personalabteilung</w:t>
      </w:r>
    </w:p>
    <w:p>
      <w:pPr>
        <w:spacing w:after="0" w:before="0"/>
      </w:pPr>
      <w:r>
        <w:rPr>
          <w:rFonts w:ascii="Arial" w:hAnsi="Arial" w:eastAsia="Arial"/>
          <w:b w:val="0"/>
          <w:sz w:val="20"/>
        </w:rPr>
        <w:t>97070 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SEO/SEA Werkstudent mit Fokus auf Sichtbarkeit in KI-Suchen (Remote oder Würzburg)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„SEO/SEA Werkstudent mit Fokus auf Sichtbarkeit in KI-Suchen (Remote oder Würzburg)“ bei Mainwebsolutions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