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EUMEDIAS Heilberufe AG Wirtschaftsberatung Und Finanzkonzepte</w:t>
      </w:r>
    </w:p>
    <w:p>
      <w:pPr>
        <w:spacing w:after="0" w:before="0"/>
      </w:pPr>
      <w:r>
        <w:rPr>
          <w:rFonts w:ascii="Arial" w:hAnsi="Arial" w:eastAsia="Arial"/>
          <w:b w:val="0"/>
          <w:sz w:val="20"/>
        </w:rPr>
        <w:t>Personalabteilung</w:t>
      </w:r>
    </w:p>
    <w:p>
      <w:pPr>
        <w:spacing w:after="0" w:before="0"/>
      </w:pPr>
      <w:r>
        <w:rPr>
          <w:rFonts w:ascii="Arial" w:hAnsi="Arial" w:eastAsia="Arial"/>
          <w:b w:val="0"/>
          <w:sz w:val="20"/>
        </w:rPr>
        <w:t>39104 Magdeburg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Personal- &amp; Organisationsentwicklung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Personal- &amp; Organisationsentwicklung“ bei EUMEDIAS Heilberufe AG Wirtschaftsberatung Und Finanzkonzepte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