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Otto GmbH &amp; Co. KGaA</w:t>
      </w:r>
    </w:p>
    <w:p>
      <w:pPr>
        <w:spacing w:after="0" w:before="0"/>
      </w:pPr>
      <w:r>
        <w:rPr>
          <w:rFonts w:ascii="Arial" w:hAnsi="Arial" w:eastAsia="Arial"/>
          <w:b w:val="0"/>
          <w:sz w:val="20"/>
        </w:rPr>
        <w:t>Personalabteilung</w:t>
      </w:r>
    </w:p>
    <w:p>
      <w:pPr>
        <w:spacing w:after="0" w:before="0"/>
      </w:pPr>
      <w:r>
        <w:rPr>
          <w:rFonts w:ascii="Arial" w:hAnsi="Arial" w:eastAsia="Arial"/>
          <w:b w:val="0"/>
          <w:sz w:val="20"/>
        </w:rPr>
        <w:t>Hamburg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Produktauffindbarkeit | Product 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Produktauffindbarkeit | Product Management“ bei Otto GmbH &amp; Co. KGaA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