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Kulmbacher Brauerei Aktien-Gesellschaft</w:t>
      </w:r>
    </w:p>
    <w:p>
      <w:pPr>
        <w:spacing w:after="0" w:before="0"/>
      </w:pPr>
      <w:r>
        <w:rPr>
          <w:rFonts w:ascii="Arial" w:hAnsi="Arial" w:eastAsia="Arial"/>
          <w:b w:val="0"/>
          <w:sz w:val="20"/>
        </w:rPr>
        <w:t>Personalabteilung</w:t>
      </w:r>
    </w:p>
    <w:p>
      <w:pPr>
        <w:spacing w:after="0" w:before="0"/>
      </w:pPr>
      <w:r>
        <w:rPr>
          <w:rFonts w:ascii="Arial" w:hAnsi="Arial" w:eastAsia="Arial"/>
          <w:b w:val="0"/>
          <w:sz w:val="20"/>
        </w:rPr>
        <w:t>Kulmbach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Microsoft 365 Governance &amp; Cost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Microsoft 365 Governance &amp; Cost Management“ bei Kulmbacher Brauerei Aktien-Gesellschaft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Cloud Computing sind mir aus meinem Studium vertraut. In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