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Viselle Augenzentrum</w:t>
      </w:r>
    </w:p>
    <w:p>
      <w:pPr>
        <w:spacing w:after="0" w:before="0"/>
      </w:pPr>
      <w:r>
        <w:rPr>
          <w:rFonts w:ascii="Arial" w:hAnsi="Arial" w:eastAsia="Arial"/>
          <w:b w:val="0"/>
          <w:sz w:val="20"/>
        </w:rPr>
        <w:t>Personalabteilung</w:t>
      </w:r>
    </w:p>
    <w:p>
      <w:pPr>
        <w:spacing w:after="0" w:before="0"/>
      </w:pPr>
      <w:r>
        <w:rPr>
          <w:rFonts w:ascii="Arial" w:hAnsi="Arial" w:eastAsia="Arial"/>
          <w:b w:val="0"/>
          <w:sz w:val="20"/>
        </w:rPr>
        <w:t>Erlangen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IT, Technik &amp; Allround-Unterstützung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IT, Technik &amp; Allround-Unterstützung“ bei Viselle Augenzentrum gelesen.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