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Ammon Beschläge-Handels GmbH Stammhaus Nürnberg</w:t>
      </w:r>
    </w:p>
    <w:p>
      <w:pPr>
        <w:spacing w:after="0" w:before="0"/>
      </w:pPr>
      <w:r>
        <w:rPr>
          <w:rFonts w:ascii="Arial" w:hAnsi="Arial" w:eastAsia="Arial"/>
          <w:b w:val="0"/>
          <w:sz w:val="20"/>
        </w:rPr>
        <w:t>Personalabteilung</w:t>
      </w:r>
    </w:p>
    <w:p>
      <w:pPr>
        <w:spacing w:after="0" w:before="0"/>
      </w:pPr>
      <w:r>
        <w:rPr>
          <w:rFonts w:ascii="Arial" w:hAnsi="Arial" w:eastAsia="Arial"/>
          <w:b w:val="0"/>
          <w:sz w:val="20"/>
        </w:rPr>
        <w:t>90439 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Photovoltaikanlagen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für Photovoltaikanlagen“ bei Ammon Beschläge-Handels GmbH Stammhaus Nürnberg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