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fem Forschungsinstitut</w:t>
      </w:r>
    </w:p>
    <w:p>
      <w:pPr>
        <w:spacing w:after="0" w:before="0"/>
      </w:pPr>
      <w:r>
        <w:rPr>
          <w:rFonts w:ascii="Arial" w:hAnsi="Arial" w:eastAsia="Arial"/>
          <w:b w:val="0"/>
          <w:sz w:val="20"/>
        </w:rPr>
        <w:t>Personalabteilung</w:t>
      </w:r>
    </w:p>
    <w:p>
      <w:pPr>
        <w:spacing w:after="0" w:before="0"/>
      </w:pPr>
      <w:r>
        <w:rPr>
          <w:rFonts w:ascii="Arial" w:hAnsi="Arial" w:eastAsia="Arial"/>
          <w:b w:val="0"/>
          <w:sz w:val="20"/>
        </w:rPr>
        <w:t>Schwäbisch Gmünd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(Bachelor/Master): Innovative Vorbehandlungskonzepte für Recycling-Aluminium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(Bachelor/Master): Innovative Vorbehandlungskonzepte für Recycling-Aluminium“ bei fem Forschungsinstitut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