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fem Forschungsinstitut</w:t>
      </w:r>
    </w:p>
    <w:p>
      <w:pPr>
        <w:spacing w:after="0" w:before="0"/>
      </w:pPr>
      <w:r>
        <w:rPr>
          <w:rFonts w:ascii="Arial" w:hAnsi="Arial" w:eastAsia="Arial"/>
          <w:b w:val="0"/>
          <w:sz w:val="20"/>
        </w:rPr>
        <w:t>Personalabteilung</w:t>
      </w:r>
    </w:p>
    <w:p>
      <w:pPr>
        <w:spacing w:after="0" w:before="0"/>
      </w:pPr>
      <w:r>
        <w:rPr>
          <w:rFonts w:ascii="Arial" w:hAnsi="Arial" w:eastAsia="Arial"/>
          <w:b w:val="0"/>
          <w:sz w:val="20"/>
        </w:rPr>
        <w:t>Schwäbisch Gmünd</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(Bachelor/Master): Entwicklung neuartiger metallischer Legierungen auf Basis experimenteller u</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„Abschlussarbeit (Bachelor/Master): Entwicklung neuartiger metallischer Legierungen auf Basis experimenteller u“ bei fem Forschungsinstitut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Künstliche Intelligenz / Machine Learning, CAE-/FEM-Simulation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