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BIKER-BOARDER, Andrej Koch und Uwe Sievers GbR</w:t>
      </w:r>
    </w:p>
    <w:p>
      <w:pPr>
        <w:spacing w:after="0" w:before="0"/>
      </w:pPr>
      <w:r>
        <w:rPr>
          <w:rFonts w:ascii="Arial" w:hAnsi="Arial" w:eastAsia="Arial"/>
          <w:b w:val="0"/>
          <w:sz w:val="20"/>
        </w:rPr>
        <w:t>Personalabteilung</w:t>
      </w:r>
    </w:p>
    <w:p>
      <w:pPr>
        <w:spacing w:after="0" w:before="0"/>
      </w:pPr>
      <w:r>
        <w:rPr>
          <w:rFonts w:ascii="Arial" w:hAnsi="Arial" w:eastAsia="Arial"/>
          <w:b w:val="0"/>
          <w:sz w:val="20"/>
        </w:rPr>
        <w:t>Chemnitz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2Rad-Mechaniker Teilzeit/Vollzeit/ geringfügige Beschäftigung/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„2Rad-Mechaniker Teilzeit/Vollzeit/ geringfügige Beschäftigung/ Werkstudent“ bei BIKER-BOARDER, Andrej Koch und Uwe Sievers GbR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