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Rosenxt Group</w:t>
      </w:r>
    </w:p>
    <w:p>
      <w:pPr>
        <w:spacing w:after="0" w:before="0"/>
      </w:pPr>
      <w:r>
        <w:rPr>
          <w:rFonts w:ascii="Arial" w:hAnsi="Arial" w:eastAsia="Arial"/>
          <w:b w:val="0"/>
          <w:sz w:val="20"/>
        </w:rPr>
        <w:t>Personalabteilung</w:t>
      </w:r>
    </w:p>
    <w:p>
      <w:pPr>
        <w:spacing w:after="0" w:before="0"/>
      </w:pPr>
      <w:r>
        <w:rPr>
          <w:rFonts w:ascii="Arial" w:hAnsi="Arial" w:eastAsia="Arial"/>
          <w:b w:val="0"/>
          <w:sz w:val="20"/>
        </w:rPr>
        <w:t>Kiel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PDM/ERP</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im Bereich PDM/ERP“ bei Rosenxt Group passt sehr gut zu meinem Studium.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Künstliche Intelligenz / Machine Learning sind mir aus meinem Studium vertraut. In SolidWorks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