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Leonhard Ventures Ulf Leonhard e.K.</w:t>
      </w:r>
    </w:p>
    <w:p>
      <w:pPr>
        <w:spacing w:after="0" w:before="0"/>
      </w:pPr>
      <w:r>
        <w:rPr>
          <w:rFonts w:ascii="Arial" w:hAnsi="Arial" w:eastAsia="Arial"/>
          <w:b w:val="0"/>
          <w:sz w:val="20"/>
        </w:rPr>
        <w:t>Personalabteilung</w:t>
      </w:r>
    </w:p>
    <w:p>
      <w:pPr>
        <w:spacing w:after="0" w:before="0"/>
      </w:pPr>
      <w:r>
        <w:rPr>
          <w:rFonts w:ascii="Arial" w:hAnsi="Arial" w:eastAsia="Arial"/>
          <w:b w:val="0"/>
          <w:sz w:val="20"/>
        </w:rPr>
        <w:t>Potsdam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Hilfskraft“ bei Leonhard Ventures Ulf Leonhard e.K.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