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Brainlab</w:t>
      </w:r>
    </w:p>
    <w:p>
      <w:pPr>
        <w:spacing w:after="0" w:before="0"/>
      </w:pPr>
      <w:r>
        <w:rPr>
          <w:rFonts w:ascii="Arial" w:hAnsi="Arial" w:eastAsia="Arial"/>
          <w:b w:val="0"/>
          <w:sz w:val="20"/>
        </w:rPr>
        <w:t>Personalabteilung</w:t>
      </w:r>
    </w:p>
    <w:p>
      <w:pPr>
        <w:spacing w:after="0" w:before="0"/>
      </w:pPr>
      <w:r>
        <w:rPr>
          <w:rFonts w:ascii="Arial" w:hAnsi="Arial" w:eastAsia="Arial"/>
          <w:b w:val="0"/>
          <w:sz w:val="20"/>
        </w:rPr>
        <w:t>Waldkirch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 Intraoperative Neuromonitoring R&amp;D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„Working Student - Intraoperative Neuromonitoring R&amp;D“ bei Brainlab gelesen.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Für Aufgaben rund um Konstruktion, Entwicklung und Berechnung bringe ich Kenntnisse in Produktentwicklung, CAE-/FEM-Simulation, Werkstoffkunde sowie Mess- und Prüfsystemen mit. Die in Ihrer Anzeige genannten Themen Python sind mir aus meinem Studium vertraut. In MATLAB, LabVIEW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