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S-Kreditpartner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 und Prozessentwicklung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Produkt- und Prozessentwicklung“ bei S-Kreditpartner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