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Technologiestiftung Berlin</w:t>
      </w:r>
    </w:p>
    <w:p>
      <w:pPr>
        <w:spacing w:after="0" w:before="0"/>
      </w:pPr>
      <w:r>
        <w:rPr>
          <w:rFonts w:ascii="Arial" w:hAnsi="Arial" w:eastAsia="Arial"/>
          <w:b w:val="0"/>
          <w:sz w:val="20"/>
        </w:rPr>
        <w:t>Personalabteilung</w:t>
      </w:r>
    </w:p>
    <w:p>
      <w:pPr>
        <w:spacing w:after="0" w:before="0"/>
      </w:pPr>
      <w:r>
        <w:rPr>
          <w:rFonts w:ascii="Arial" w:hAnsi="Arial" w:eastAsia="Arial"/>
          <w:b w:val="0"/>
          <w:sz w:val="20"/>
        </w:rPr>
        <w:t>10825 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IoT-Hardware &amp; Prototyping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IoT-Hardware &amp; Prototyping“ bei Technologiestiftung Berlin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Mess-, Prüf- und Langzeittestsysteme sowie Embedded-Programmierung mit Einplatinencomputern (Raspberry Pi, Linux) gehören zu meinen fachlichen Grundlagen. In Git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