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Allianz Versicherungs-AG</w:t>
      </w:r>
    </w:p>
    <w:p>
      <w:pPr>
        <w:spacing w:after="0" w:before="0"/>
      </w:pPr>
      <w:r>
        <w:rPr>
          <w:rFonts w:ascii="Arial" w:hAnsi="Arial" w:eastAsia="Arial"/>
          <w:b w:val="0"/>
          <w:sz w:val="20"/>
        </w:rPr>
        <w:t>Personalabteilung</w:t>
      </w:r>
    </w:p>
    <w:p>
      <w:pPr>
        <w:spacing w:after="0" w:before="0"/>
      </w:pPr>
      <w:r>
        <w:rPr>
          <w:rFonts w:ascii="Arial" w:hAnsi="Arial" w:eastAsia="Arial"/>
          <w:b w:val="0"/>
          <w:sz w:val="20"/>
        </w:rPr>
        <w:t>Ismaning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Fahrzeugtechnik &amp; Mobilitätsthemen im Allianz Zentrum für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Fahrzeugtechnik &amp; Mobilitätsthemen im Allianz Zentrum für Technik“ bei Allianz Versicherungs-AG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