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Allianz Versicherungs-AG</w:t>
      </w:r>
    </w:p>
    <w:p>
      <w:pPr>
        <w:spacing w:after="0" w:before="0"/>
      </w:pPr>
      <w:r>
        <w:rPr>
          <w:rFonts w:ascii="Arial" w:hAnsi="Arial" w:eastAsia="Arial"/>
          <w:b w:val="0"/>
          <w:sz w:val="20"/>
        </w:rPr>
        <w:t>Personalabteilung</w:t>
      </w:r>
    </w:p>
    <w:p>
      <w:pPr>
        <w:spacing w:after="0" w:before="0"/>
      </w:pPr>
      <w:r>
        <w:rPr>
          <w:rFonts w:ascii="Arial" w:hAnsi="Arial" w:eastAsia="Arial"/>
          <w:b w:val="0"/>
          <w:sz w:val="20"/>
        </w:rPr>
        <w:t>Unterföhring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strategischen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strategischen Projektmanagement“ bei Allianz Versicherungs-AG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