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Autohaus W.Schouren OHG</w:t>
      </w:r>
    </w:p>
    <w:p>
      <w:pPr>
        <w:spacing w:after="0" w:before="0"/>
      </w:pPr>
      <w:r>
        <w:rPr>
          <w:rFonts w:ascii="Arial" w:hAnsi="Arial" w:eastAsia="Arial"/>
          <w:b w:val="0"/>
          <w:sz w:val="20"/>
        </w:rPr>
        <w:t>Personalabteilung</w:t>
      </w:r>
    </w:p>
    <w:p>
      <w:pPr>
        <w:spacing w:after="0" w:before="0"/>
      </w:pPr>
      <w:r>
        <w:rPr>
          <w:rFonts w:ascii="Arial" w:hAnsi="Arial" w:eastAsia="Arial"/>
          <w:b w:val="0"/>
          <w:sz w:val="20"/>
        </w:rPr>
        <w:t>Brüggen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Cloud &amp; AI Engineering (Google Cloud Platform)</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Cloud &amp; AI Engineering (Google Cloud Platform)“ bei Autohaus W.Schouren OHG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Python, Machine Learning und Deep Learning habe ich im Studium und in meiner Bachelorarbeit (Hirntumorklassifizierung, Note 2,0) praktisch angewendet; im Praxissemester an der National Tsing Hua University in Taiwan habe ich einen genetischen Algorithmus zur Fusionierung von MRT- und CT-Aufnahmen entwickelt. Die in Ihrer Anzeige genannten Themen Python, Cloud Computing, Künstliche Intelligenz / Machine Learning sind mir aus meinem Studium vertraut. In JavaScript/TypeScript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