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hmd-software AG Andechs</w:t>
      </w:r>
    </w:p>
    <w:p>
      <w:pPr>
        <w:spacing w:after="0" w:before="0"/>
      </w:pPr>
      <w:r>
        <w:rPr>
          <w:rFonts w:ascii="Arial" w:hAnsi="Arial" w:eastAsia="Arial"/>
          <w:b w:val="0"/>
          <w:sz w:val="20"/>
        </w:rPr>
        <w:t>Personalabteilung</w:t>
      </w:r>
    </w:p>
    <w:p>
      <w:pPr>
        <w:spacing w:after="0" w:before="0"/>
      </w:pPr>
      <w:r>
        <w:rPr>
          <w:rFonts w:ascii="Arial" w:hAnsi="Arial" w:eastAsia="Arial"/>
          <w:b w:val="0"/>
          <w:sz w:val="20"/>
        </w:rPr>
        <w:t>82346 Andechs</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bei hmd-software AG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bei hmd-software AG“ bei hmd-software AG Andechs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