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Gebrüder Frei GmbH &amp; Co.KG</w:t>
      </w:r>
    </w:p>
    <w:p>
      <w:pPr>
        <w:spacing w:after="0" w:before="0"/>
      </w:pPr>
      <w:r>
        <w:rPr>
          <w:rFonts w:ascii="Arial" w:hAnsi="Arial" w:eastAsia="Arial"/>
          <w:b w:val="0"/>
          <w:sz w:val="20"/>
        </w:rPr>
        <w:t>Personalabteilung</w:t>
      </w:r>
    </w:p>
    <w:p>
      <w:pPr>
        <w:spacing w:after="0" w:before="0"/>
      </w:pPr>
      <w:r>
        <w:rPr>
          <w:rFonts w:ascii="Arial" w:hAnsi="Arial" w:eastAsia="Arial"/>
          <w:b w:val="0"/>
          <w:sz w:val="20"/>
        </w:rPr>
        <w:t>72461 Albstadt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Teilzeitkraft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„Studentische Teilzeitkraft“ bei Gebrüder Frei GmbH &amp; Co.KG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