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Ralph Zanker und Rainer Krebs</w:t>
      </w:r>
    </w:p>
    <w:p>
      <w:pPr>
        <w:spacing w:after="0" w:before="0"/>
      </w:pPr>
      <w:r>
        <w:rPr>
          <w:rFonts w:ascii="Arial" w:hAnsi="Arial" w:eastAsia="Arial"/>
          <w:b w:val="0"/>
          <w:sz w:val="20"/>
        </w:rPr>
        <w:t>Personalabteilung</w:t>
      </w:r>
    </w:p>
    <w:p>
      <w:pPr>
        <w:spacing w:after="0" w:before="0"/>
      </w:pPr>
      <w:r>
        <w:rPr>
          <w:rFonts w:ascii="Arial" w:hAnsi="Arial" w:eastAsia="Arial"/>
          <w:b w:val="0"/>
          <w:sz w:val="20"/>
        </w:rPr>
        <w:t>Villingen-Schwenningen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Werkstudent/Praxissemester/Thesis - Arbeitsvorbereitung / Industrial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„Werkstudent/Praxissemester/Thesis - Arbeitsvorbereitung / Industrial Engineering“ bei Ralph Zanker und Rainer Krebs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