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WILAmed GmbH Medizinische Geräte Und Zubehör</w:t>
      </w:r>
    </w:p>
    <w:p>
      <w:pPr>
        <w:spacing w:after="0" w:before="0"/>
      </w:pPr>
      <w:r>
        <w:rPr>
          <w:rFonts w:ascii="Arial" w:hAnsi="Arial" w:eastAsia="Arial"/>
          <w:b w:val="0"/>
          <w:sz w:val="20"/>
        </w:rPr>
        <w:t>Personalabteilung</w:t>
      </w:r>
    </w:p>
    <w:p>
      <w:pPr>
        <w:spacing w:after="0" w:before="0"/>
      </w:pPr>
      <w:r>
        <w:rPr>
          <w:rFonts w:ascii="Arial" w:hAnsi="Arial" w:eastAsia="Arial"/>
          <w:b w:val="0"/>
          <w:sz w:val="20"/>
        </w:rPr>
        <w:t>91126 Kammerstein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(Master/Bachelor) - Machbarkeitsstudie zum Einsatz nachhaltiger Polymermaterialien in der Beat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(Master/Bachelor) - Machbarkeitsstudie zum Einsatz nachhaltiger Polymermaterialien in der Beat“ bei WILAmed GmbH Medizinische Geräte Und Zubehör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