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Weber &amp; Ott Aktiengesellschaft</w:t>
      </w:r>
    </w:p>
    <w:p>
      <w:pPr>
        <w:spacing w:after="0" w:before="0"/>
      </w:pPr>
      <w:r>
        <w:rPr>
          <w:rFonts w:ascii="Arial" w:hAnsi="Arial" w:eastAsia="Arial"/>
          <w:b w:val="0"/>
          <w:sz w:val="20"/>
        </w:rPr>
        <w:t>Personalabteilung</w:t>
      </w:r>
    </w:p>
    <w:p>
      <w:pPr>
        <w:spacing w:after="0" w:before="0"/>
      </w:pPr>
      <w:r>
        <w:rPr>
          <w:rFonts w:ascii="Arial" w:hAnsi="Arial" w:eastAsia="Arial"/>
          <w:b w:val="0"/>
          <w:sz w:val="20"/>
        </w:rPr>
        <w:t>Forchheim</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Projektunterstützung Verpackungsverordnung, befristet für ca. 2-5 Monate</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 Projektunterstützung Verpackungsverordnung, befristet für ca. 2-5 Monate“ bei Weber &amp; Ott Aktiengesellschaft gelesen. Technik, Projektarbeit und betriebswirtschaftliche Zusammenhänge verbinde ich bereits in meinem Master.</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 Die in Ihrer Anzeige genannten Themen MS Office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