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Kirchhoff</w:t>
      </w:r>
    </w:p>
    <w:p>
      <w:pPr>
        <w:spacing w:after="0" w:before="0"/>
      </w:pPr>
      <w:r>
        <w:rPr>
          <w:rFonts w:ascii="Arial" w:hAnsi="Arial" w:eastAsia="Arial"/>
          <w:b w:val="0"/>
          <w:sz w:val="20"/>
        </w:rPr>
        <w:t>Personalabteilung</w:t>
      </w:r>
    </w:p>
    <w:p>
      <w:pPr>
        <w:spacing w:after="0" w:before="0"/>
      </w:pPr>
      <w:r>
        <w:rPr>
          <w:rFonts w:ascii="Arial" w:hAnsi="Arial" w:eastAsia="Arial"/>
          <w:b w:val="0"/>
          <w:sz w:val="20"/>
        </w:rPr>
        <w:t>Attendorn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Maschinenbau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Maschinenbau“ bei Kirchhoff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