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第一章　雨のあと</w:t>
      </w:r>
    </w:p>
    <w:p>
      <w:r>
        <w:t xml:space="preserve">　窓辺に</w:t>
      </w:r>
      <w:r>
        <w:ruby>
          <w:rt>
            <w:r>
              <w:t>ばら</w:t>
            </w:r>
          </w:rt>
          <w:rubyBase>
            <w:r>
              <w:t>薔薇</w:t>
            </w:r>
          </w:rubyBase>
        </w:ruby>
      </w:r>
      <w:r>
        <w:t>を置く。</w:t>
      </w:r>
    </w:p>
    <w:p>
      <w:r>
        <w:rPr>
          <w:em w:val="comma"/>
        </w:rPr>
        <w:t>静かな言葉</w:t>
      </w:r>
      <w:r>
        <w:t>が残る――。</w:t>
      </w:r>
    </w:p>
    <w:p>
      <w:r>
        <w:br w:type="page"/>
      </w:r>
      <w:r>
        <w:t>[未知の指定]も原稿に残す。</w:t>
      </w:r>
    </w:p>
    <w:sectPr>
      <w:pgSz w:w="5953" w:h="8391"/>
    </w:sectPr>
  </w:body>
</w:document>
</file>