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Arial" w:hAnsi="Arial"/>
          <w:b/>
          <w:color w:val="1A365D"/>
          <w:sz w:val="44"/>
        </w:rPr>
        <w:t>BÁO CÁO PHÂN TÍCH VÀ NHẬN ĐỊNH</w:t>
        <w:br/>
        <w:t>THỊ TRƯỜNG BẤT ĐỘNG SẢN VIỆT NAM</w:t>
        <w:br/>
        <w:t>GIAI ĐOẠN 2026 – 2029</w:t>
      </w:r>
    </w:p>
    <w:p>
      <w:pPr>
        <w:spacing w:after="560"/>
        <w:jc w:val="center"/>
      </w:pPr>
      <w:r>
        <w:rPr>
          <w:rFonts w:ascii="Arial" w:hAnsi="Arial"/>
          <w:i/>
          <w:color w:val="4A5568"/>
          <w:sz w:val="24"/>
        </w:rPr>
        <w:t>XU HƯỚNG BƯỚC NGOẶT, ĐỘNG LỰC TĂNG TRƯỞNG VÀ CHIẾN LƯỢC THÍCH ỨNG TRONG KỶ NGUYÊN MỚI</w:t>
      </w:r>
    </w:p>
    <w:p>
      <w:pPr>
        <w:spacing w:after="480"/>
        <w:jc w:val="center"/>
      </w:pPr>
      <w:r>
        <w:rPr>
          <w:color w:val="2B6CB0"/>
        </w:rPr>
        <w:t>――――――――――――――――――――――――――――――――――――――――</w:t>
      </w:r>
    </w:p>
    <w:p>
      <w:pPr>
        <w:keepNext/>
        <w:spacing w:before="360" w:after="160"/>
      </w:pPr>
      <w:r>
        <w:rPr>
          <w:rFonts w:ascii="Arial" w:hAnsi="Arial"/>
          <w:b/>
          <w:color w:val="1A365D"/>
          <w:sz w:val="30"/>
        </w:rPr>
        <w:t>LỜI MỞ ĐẦU</w:t>
      </w:r>
    </w:p>
    <w:p>
      <w:pPr>
        <w:spacing w:line="300" w:lineRule="auto" w:after="160"/>
        <w:jc w:val="both"/>
      </w:pPr>
      <w:r>
        <w:rPr>
          <w:rFonts w:ascii="Arial" w:hAnsi="Arial"/>
          <w:color w:val="2D3748"/>
          <w:sz w:val="21"/>
        </w:rPr>
        <w:t>Thị trường bất động sản Việt Nam đang bước vào một chu kỳ phát triển hoàn toàn mới với những chuyển dịch mang tính cấu trúc sâu sắc. Sự thay đổi không chỉ đến từ sự điều chỉnh của thể chế pháp lý, chính sách tiền tệ và quy hoạch hạ tầng, mà còn bắt nguồn từ sự biến đổi trong hành vi tiêu dùng, mô hình sản xuất và cấu trúc dân số. Báo cáo phân tích chuyên sâu này được xây dựng nhằm cung cấp góc nhìn toàn diện, đa chiều và có tính chiến lược về triển vọng thị trường bất động sản trong 3 năm tới (giai đoạn 2026 – 2029). Through việc mổ xẻ từng phân khúc chính, đánh giá rủi ro vĩ mô cũng như dòng vốn đầu tư, báo cáo kỳ vọng sẽ trở thành tài liệu tham khảo hữu ích cho các nhà quản lý, chủ đầu tư, tổ chức tài chính và nhà đầu tư cá nhân trong việc định hình chiến lược kinh doanh và quản trị rủi ro.</w:t>
      </w:r>
    </w:p>
    <w:p>
      <w:pPr>
        <w:keepNext/>
        <w:spacing w:before="360" w:after="160"/>
      </w:pPr>
      <w:r>
        <w:rPr>
          <w:rFonts w:ascii="Arial" w:hAnsi="Arial"/>
          <w:b/>
          <w:color w:val="1A365D"/>
          <w:sz w:val="30"/>
        </w:rPr>
        <w:t>CHƯƠNG 1: BỐI CẢNH VĨ MÔ VÀ TÁC ĐỘNG CỦA THỂ CHẾ PHÁP LÝ CHU KỲ MỚI</w:t>
      </w:r>
    </w:p>
    <w:p>
      <w:pPr>
        <w:keepNext/>
        <w:spacing w:before="280" w:after="120"/>
      </w:pPr>
      <w:r>
        <w:rPr>
          <w:rFonts w:ascii="Arial" w:hAnsi="Arial"/>
          <w:b/>
          <w:color w:val="2B6CB0"/>
          <w:sz w:val="25"/>
        </w:rPr>
        <w:t>1.1. Tổng quan môi trường kinh tế vĩ mô và định hướng tăng trưởng</w:t>
      </w:r>
    </w:p>
    <w:p>
      <w:pPr>
        <w:spacing w:line="300" w:lineRule="auto" w:after="160"/>
        <w:jc w:val="both"/>
      </w:pPr>
      <w:r>
        <w:rPr>
          <w:rFonts w:ascii="Arial" w:hAnsi="Arial"/>
          <w:color w:val="2D3748"/>
          <w:sz w:val="21"/>
        </w:rPr>
        <w:t>Trong vòng 3 năm tới, kinh tế vĩ mô Việt Nam dự báo sẽ tiếp tục duy trì đà phục hồi tích cực và từng bước ổn định vững chắc. Các động lực tăng trưởng chuyển dịch mạnh mẽ từ mô hình thâm dụng vốn sang mô hình dựa trên đổi mới sáng tạo, năng suất lao động và thu hút dòng vốn đầu tư chất lượng cao. Sự ổn định của tỷ giá, khả năng kiểm soát lạm phát hiệu quả cùng với vị thế địa chính trị kinh tế gia tăng trong chuỗi cung ứng toàn cầu giúp Việt Nam tiếp tục là điểm đến hấp dẫn của dòng vốn đầu tư trực tiếp nước ngoài (FDI).</w:t>
      </w:r>
    </w:p>
    <w:p>
      <w:pPr>
        <w:spacing w:line="300" w:lineRule="auto" w:after="160"/>
        <w:jc w:val="both"/>
      </w:pPr>
      <w:r>
        <w:rPr>
          <w:rFonts w:ascii="Arial" w:hAnsi="Arial"/>
          <w:color w:val="2D3748"/>
          <w:sz w:val="21"/>
        </w:rPr>
        <w:t>Tuy nhiên, môi trường vĩ mô cũng đứng trước nhiều thách thức không nhỏ từ biến động địa chính trị quốc tế, rủi ro suy thoái cục bộ tại một số đối tác thương mại lớn và áp lực chuyển đổi xanh. Điều này đòi hỏi chính sách điều hành tiền tệ và tài khóa phải linh hoạt, cẩn trọng. Tăng trưởng thu nhập bình quân đầu người cùng sự gia tăng nhanh chóng của tầng lớp trung lưu tại các đô thị lớn sẽ là bệ đỡ vững chắc cho nhu cầu nhà ở thực và các hoạt động thương mại dịch vụ.</w:t>
      </w:r>
    </w:p>
    <w:p>
      <w:pPr>
        <w:keepNext/>
        <w:spacing w:before="280" w:after="120"/>
      </w:pPr>
      <w:r>
        <w:rPr>
          <w:rFonts w:ascii="Arial" w:hAnsi="Arial"/>
          <w:b/>
          <w:color w:val="2B6CB0"/>
          <w:sz w:val="25"/>
        </w:rPr>
        <w:t>1.2. Bộ ba Luật sửa đổi và sự tái lập trật tự minh bạch cho thị trường</w:t>
      </w:r>
    </w:p>
    <w:p>
      <w:pPr>
        <w:spacing w:line="300" w:lineRule="auto" w:after="160"/>
        <w:jc w:val="both"/>
      </w:pPr>
      <w:r>
        <w:rPr>
          <w:rFonts w:ascii="Arial" w:hAnsi="Arial"/>
          <w:color w:val="2D3748"/>
          <w:sz w:val="21"/>
        </w:rPr>
        <w:t>Sự đi vào cuộc sống một cách đồng bộ và triệt để của Bộ ba Luật sửa đổi bao gồm Luật Đất đai, Luật Nhà ở và Luật Kinh doanh Bất động sản đã đánh dấu bước ngoặt lịch sử trong việc định hình lại toàn bộ cuộc chơi bất động sản. Các quy định mới không chỉ gỡ vướng cho hàng loạt dự án tồn đọng mà còn thiết lập một cơ chế vận hành minh bạch, chuyên nghiệp và tiệm cận với các chuẩn mực quốc tế.</w:t>
      </w:r>
    </w:p>
    <w:p>
      <w:pPr>
        <w:spacing w:line="300" w:lineRule="auto" w:after="160"/>
        <w:jc w:val="both"/>
      </w:pPr>
      <w:r>
        <w:rPr>
          <w:rFonts w:ascii="Arial" w:hAnsi="Arial"/>
          <w:color w:val="2D3748"/>
          <w:sz w:val="21"/>
        </w:rPr>
        <w:t>Việc bỏ khung giá đất cũ và chuyển sang xác định giá đất theo nguyên tắc thị trường giúp quá trình đền bù, giải phóng mặt bằng được công bằng và đẩy nhanh tiến độ triển khai dự án. Tuy nhiên, quy định này cũng làm gia tăng chi phí quỹ đất đầu vào của các chủ đầu tư, buộc các doanh nghiệp phải tối ưu hóa năng lực quản trị, cắt giảm chi phí trung gian và nâng cao chất lượng sản phẩm để bảo vệ biên lợi nhuận. Bên cạnh đó, các quy định siết chặt điều kiện huy động vốn, đặt cọc và phân lô bán nền giúp sàng lọc triệt để các chủ đầu tư yếu kém về năng lực tài chính, ngăn ngừa tình trạng đầu cơ sốt đất ảo.</w:t>
      </w:r>
    </w:p>
    <w:p>
      <w:pPr>
        <w:keepNext/>
        <w:spacing w:before="280" w:after="120"/>
      </w:pPr>
      <w:r>
        <w:rPr>
          <w:rFonts w:ascii="Arial" w:hAnsi="Arial"/>
          <w:b/>
          <w:color w:val="2B6CB0"/>
          <w:sz w:val="25"/>
        </w:rPr>
        <w:t>1.3. Chính sách tiền tệ, tín dụng và chuyển dịch cấu trúc vốn đầu tư</w:t>
      </w:r>
    </w:p>
    <w:p>
      <w:pPr>
        <w:spacing w:line="300" w:lineRule="auto" w:after="160"/>
        <w:jc w:val="both"/>
      </w:pPr>
      <w:r>
        <w:rPr>
          <w:rFonts w:ascii="Arial" w:hAnsi="Arial"/>
          <w:color w:val="2D3748"/>
          <w:sz w:val="21"/>
        </w:rPr>
        <w:t>Trong chu kỳ 2026 – 2029, chính sách tín dụng đối với bất động sản sẽ được điều hành theo hướng kiểm soát rủi ro có trọng tâm, tập trung vốn vào các phân khúc sản phẩm đáp ứng nhu cầu thực như nhà ở xã hội, nhà ở thương mại giá bình dân và bất động sản công nghiệp. Ngân hàng Nhà nước duy trì cơ chế giám sát chặt chẽ tỷ lệ sử dụng vốn ngắn hạn cho vay trung và dài hạn, đồng thời áp dụng các hệ số rủi ro cao hơn đối với các dự án mang tính chất đầu cơ hoặc phân khúc cao cấp vượt quá khả năng hấp thụ của thị trường.</w:t>
      </w:r>
    </w:p>
    <w:p>
      <w:pPr>
        <w:spacing w:line="300" w:lineRule="auto" w:after="160"/>
        <w:jc w:val="both"/>
      </w:pPr>
      <w:r>
        <w:rPr>
          <w:rFonts w:ascii="Arial" w:hAnsi="Arial"/>
          <w:color w:val="2D3748"/>
          <w:sz w:val="21"/>
        </w:rPr>
        <w:t>Trước sự thắt chặt vừa phải của tín dụng ngân hàng, các doanh nghiệp bất động sản buộc phải đa dạng hóa kênh huy động vốn. Thị trường trái phiếu doanh nghiệp, sau giai đoạn khủng hoảng và thanh lọc, đang dần khôi phục niềm tin nhờ các tiêu chuẩn niêm yết và xếp hạng tín nhiệm khắt khe. Dòng vốn từ các quỹ đầu tư tư nhân, hợp tác chiến lược M&amp;A với các tập đoàn nước ngoài và các quỹ đầu tư bất động sản (REITs) sẽ trở thành những trụ cột vốn quan trọng, giúp thị trường phát triển cân bằng và bền vững hơn.</w:t>
      </w:r>
    </w:p>
    <w:p>
      <w:pPr>
        <w:keepNext/>
        <w:spacing w:before="360" w:after="160"/>
      </w:pPr>
      <w:r>
        <w:rPr>
          <w:rFonts w:ascii="Arial" w:hAnsi="Arial"/>
          <w:b/>
          <w:color w:val="1A365D"/>
          <w:sz w:val="30"/>
        </w:rPr>
        <w:t>CHƯƠNG 2: BẤT ĐỘNG SẢN NHÀ Ở – SỰ TRỞ LẠI CỦA VALEUR THỰC VÀ BÌNH DÂN HÓA</w:t>
      </w:r>
    </w:p>
    <w:p>
      <w:pPr>
        <w:keepNext/>
        <w:spacing w:before="280" w:after="120"/>
      </w:pPr>
      <w:r>
        <w:rPr>
          <w:rFonts w:ascii="Arial" w:hAnsi="Arial"/>
          <w:b/>
          <w:color w:val="2B6CB0"/>
          <w:sz w:val="25"/>
        </w:rPr>
        <w:t>2.1. Phân khúc nhà ở bình dân và nhà ở xã hội: Động lực dẫn dắt thị trường</w:t>
      </w:r>
    </w:p>
    <w:p>
      <w:pPr>
        <w:spacing w:line="300" w:lineRule="auto" w:after="160"/>
        <w:jc w:val="both"/>
      </w:pPr>
      <w:r>
        <w:rPr>
          <w:rFonts w:ascii="Arial" w:hAnsi="Arial"/>
          <w:color w:val="2D3748"/>
          <w:sz w:val="21"/>
        </w:rPr>
        <w:t>Sau nhiều năm lệch pha cung cầu nghiêm trọng khiến giá nhà vượt quá xa khả năng chi trả của đại đa số người dân, phân khúc nhà ở bình dân và nhà ở xã hội sẽ vươn lên trở thành trọng tâm phát triển của toàn bộ thị trường trong 3 năm tới. Sự quyết liệt của Chính phủ trong việc triển khai đề án phát triển nhà ở xã hội kết hợp với việc đơn giản hóa thủ tục pháp lý và ưu đãi quỹ đất đang tạo điều kiện thuận lợi chưa từng có cho phân khúc này.</w:t>
      </w:r>
    </w:p>
    <w:p>
      <w:pPr>
        <w:spacing w:line="300" w:lineRule="auto" w:after="160"/>
        <w:jc w:val="both"/>
      </w:pPr>
      <w:r>
        <w:rPr>
          <w:rFonts w:ascii="Arial" w:hAnsi="Arial"/>
          <w:color w:val="2D3748"/>
          <w:sz w:val="21"/>
        </w:rPr>
        <w:t>Các chủ đầu tư lớn, vốn trước đây chỉ tập trung vào phân khúc cao cấp và nghỉ dưỡng, cũng đang chủ động tái cơ cấu danh mục dự án, chuyển hướng mạnh mẽ sang phát triển dòng sản phẩm nhà ở có mức giá phù hợp với túi tiền của số đông. Khả năng thanh khoản cao, tỷ lệ lấp đầy nhanh và sự hỗ trợ mạnh mẽ về gói tín dụng ưu đãi từ chính phủ sẽ biến nhà ở bình dân trở thành 'vùng an toàn' và là động lực chính phục hồi niềm tin toàn thị trường.</w:t>
      </w:r>
    </w:p>
    <w:p>
      <w:pPr>
        <w:keepNext/>
        <w:spacing w:before="280" w:after="120"/>
      </w:pPr>
      <w:r>
        <w:rPr>
          <w:rFonts w:ascii="Arial" w:hAnsi="Arial"/>
          <w:b/>
          <w:color w:val="2B6CB0"/>
          <w:sz w:val="25"/>
        </w:rPr>
        <w:t>2.2. Phân khúc căn hộ trung - cao cấp: Cạnh tranh bằng chất lượng sống và hệ sinh thái</w:t>
      </w:r>
    </w:p>
    <w:p>
      <w:pPr>
        <w:spacing w:line="300" w:lineRule="auto" w:after="160"/>
        <w:jc w:val="both"/>
      </w:pPr>
      <w:r>
        <w:rPr>
          <w:rFonts w:ascii="Arial" w:hAnsi="Arial"/>
          <w:color w:val="2D3748"/>
          <w:sz w:val="21"/>
        </w:rPr>
        <w:t>Dù không còn cảnh tăng giá nóng hay tranh mua như các giai đoạn trước, phân khúc căn hộ trung và cao cấp vẫn duy trì lượng cầu ổn định đến từ giới trung lưu mới nổi, chuyên gia nước ngoài và nhóm khách hàng có nhu cầu nâng cấp không gian sống. Tuy nhiên, sự cạnh tranh giữa các dự án trong phân khúc này sẽ trở nên gay gắt hơn bao giờ hết.</w:t>
      </w:r>
    </w:p>
    <w:p>
      <w:pPr>
        <w:spacing w:line="300" w:lineRule="auto" w:after="160"/>
        <w:jc w:val="both"/>
      </w:pPr>
      <w:r>
        <w:rPr>
          <w:rFonts w:ascii="Arial" w:hAnsi="Arial"/>
          <w:color w:val="2D3748"/>
          <w:sz w:val="21"/>
        </w:rPr>
        <w:t>Tiêu chuẩn lựa chọn của người mua nhà đã thay đổi cơ bản. Thay vì chỉ quan tâm đến vị trí hay vị thế thương hiệu, người mua hiện nay đặt nặng các tiêu chí về mật độ xây dựng, chất lượng đơn vị vận hành, không gian xanh, tính riêng tư và hệ sinh thái tiện ích tích hợp (trường học, trung tâm thương mại, công viên, cơ sở y tế). Những dự án thuộc mô hình 'mô hình thành phố phức hợp' (Integrated Township) có pháp lý chuẩn chỉnh và tiến độ thi công đảm bảo sẽ chiếm trọn ưu thế trên thị trường.</w:t>
      </w:r>
    </w:p>
    <w:p>
      <w:pPr>
        <w:keepNext/>
        <w:spacing w:before="280" w:after="120"/>
      </w:pPr>
      <w:r>
        <w:rPr>
          <w:rFonts w:ascii="Arial" w:hAnsi="Arial"/>
          <w:b/>
          <w:color w:val="2B6CB0"/>
          <w:sz w:val="25"/>
        </w:rPr>
        <w:t>2.3. Bất động sản liền thổ, biệt thự và đất nền: Phân hóa sâu sắc theo giá trị sử dụng</w:t>
      </w:r>
    </w:p>
    <w:p>
      <w:pPr>
        <w:spacing w:line="300" w:lineRule="auto" w:after="160"/>
        <w:jc w:val="both"/>
      </w:pPr>
      <w:r>
        <w:rPr>
          <w:rFonts w:ascii="Arial" w:hAnsi="Arial"/>
          <w:color w:val="2D3748"/>
          <w:sz w:val="21"/>
        </w:rPr>
        <w:t>Thị trường đất nền và bất động sản liền thổ trong giai đoạn 2026 – 2029 sẽ trải qua quá trình phân hóa và thanh lọc quy mô lớn. Quy định cấm phân lô bán nền tại các đô thị loại I, II, III đóng vai trò như một bộ lọc tự nhiên, loại bỏ hầu hết các dự án 'ma' hoặc các sản phẩm đầu cơ tích trữ không mang lại giá trị sử dụng thực tế. Thời kỳ mua đất để đó chờ tăng giá ăn theo sóng hạ tầng ảo đã chính thức chấm dứt.</w:t>
      </w:r>
    </w:p>
    <w:p>
      <w:pPr>
        <w:spacing w:line="300" w:lineRule="auto" w:after="160"/>
        <w:jc w:val="both"/>
      </w:pPr>
      <w:r>
        <w:rPr>
          <w:rFonts w:ascii="Arial" w:hAnsi="Arial"/>
          <w:color w:val="2D3748"/>
          <w:sz w:val="21"/>
        </w:rPr>
        <w:t>Giá trị của sản phẩm liền thổ và đất nền sẽ quay trở về với đúng bản chất: khả năng khai thác thương mại, tiềm năng ở thực hoặc tạo ra dòng tiền cho thuê. Các sản phẩm đất nền tại vùng ven có hạ tầng kết nối đồng bộ, nằm trong khu dân cư hiện hữu hoặc cận kề các khu công nghiệp lớn vẫn giữ được sức hút và sự tăng trưởng ổn định. Ngược lại, các sản phẩm nằm ở vị trí hẻo lánh, thiếu kết nối và không có hạ tầng phụ trợ sẽ tiếp tục đóng băng hoặc đối mặt với áp lực cắt lỗ sâu.</w:t>
      </w:r>
    </w:p>
    <w:p>
      <w:pPr>
        <w:keepNext/>
        <w:spacing w:before="360" w:after="160"/>
      </w:pPr>
      <w:r>
        <w:rPr>
          <w:rFonts w:ascii="Arial" w:hAnsi="Arial"/>
          <w:b/>
          <w:color w:val="1A365D"/>
          <w:sz w:val="30"/>
        </w:rPr>
        <w:t>CHƯƠNG 3: BẤT ĐỘNG SẢN CÔNG NGHIỆP VÀ LOGISTICS – TRỤ CỘNG TĂNG TRƯỞNG BỀN VỮNG</w:t>
      </w:r>
    </w:p>
    <w:p>
      <w:pPr>
        <w:keepNext/>
        <w:spacing w:before="280" w:after="120"/>
      </w:pPr>
      <w:r>
        <w:rPr>
          <w:rFonts w:ascii="Arial" w:hAnsi="Arial"/>
          <w:b/>
          <w:color w:val="2B6CB0"/>
          <w:sz w:val="25"/>
        </w:rPr>
        <w:t>3.1. Xu hướng dịch chuyển chuỗi cung ứng toàn cầu và vị thế của Việt Nam</w:t>
      </w:r>
    </w:p>
    <w:p>
      <w:pPr>
        <w:spacing w:line="300" w:lineRule="auto" w:after="160"/>
        <w:jc w:val="both"/>
      </w:pPr>
      <w:r>
        <w:rPr>
          <w:rFonts w:ascii="Arial" w:hAnsi="Arial"/>
          <w:color w:val="2D3748"/>
          <w:sz w:val="21"/>
        </w:rPr>
        <w:t>Việt Nam tiếp tục khẳng định vị thế là một trong những trung tâm sản xuất mới của khu vực và thế giới nhờ chiến lược ngoại giao kinh tế linh hoạt, mạng lưới các hiệp định thương mại tự do (FTA) thế hệ mới sâu rộng và chi phí lao động có tính cạnh tranh. Sự dịch chuyển của các tập đoàn công nghệ, điện tử và bán dẫn hàng đầu thế giới sang Việt Nam không chỉ gia tăng nhu cầu thuê đất công nghiệp mà còn kéo theo mạng lưới các nhà cung ứng vệ tinh quy mô lớn.</w:t>
      </w:r>
    </w:p>
    <w:p>
      <w:pPr>
        <w:spacing w:line="300" w:lineRule="auto" w:after="160"/>
        <w:jc w:val="both"/>
      </w:pPr>
      <w:r>
        <w:rPr>
          <w:rFonts w:ascii="Arial" w:hAnsi="Arial"/>
          <w:color w:val="2D3748"/>
          <w:sz w:val="21"/>
        </w:rPr>
        <w:t>Trong 3 năm tới, làn sóng FDI đăng ký mới và vốn giải ngân trong lĩnh vực chế biến, chế tạo dự báo sẽ giữ vững đà tăng trưởng. Điều này tạo nền tảng vững chắc cho bất động sản công nghiệp tiếp tục là phân khúc có tỷ lệ lấp đầy cao nhất và duy trì mức tăng trưởng giá thuê ổn định nhất trên toàn thị trường bất động sản.</w:t>
      </w:r>
    </w:p>
    <w:p>
      <w:pPr>
        <w:keepNext/>
        <w:spacing w:before="280" w:after="120"/>
      </w:pPr>
      <w:r>
        <w:rPr>
          <w:rFonts w:ascii="Arial" w:hAnsi="Arial"/>
          <w:b/>
          <w:color w:val="2B6CB0"/>
          <w:sz w:val="25"/>
        </w:rPr>
        <w:t>3.2. Chuyển dịch mô hình: Từ khu công nghiệp truyền thống sang Khu công nghiệp Sinh thái &amp; Hiệp hội</w:t>
      </w:r>
    </w:p>
    <w:p>
      <w:pPr>
        <w:spacing w:line="300" w:lineRule="auto" w:after="160"/>
        <w:jc w:val="both"/>
      </w:pPr>
      <w:r>
        <w:rPr>
          <w:rFonts w:ascii="Arial" w:hAnsi="Arial"/>
          <w:color w:val="2D3748"/>
          <w:sz w:val="21"/>
        </w:rPr>
        <w:t>Mô hình khu công nghiệp truyền thống chỉ cung cấp hạ tầng nhà xưởng cơ bản đang nhanh chóng trở nên lạc hậu. Chu kỳ 2026 – 2029 sẽ ghi nhận sự bùng nổ của các mô hình Khu công nghiệp sinh thái (Eco-Industrial Park), Khu công nghiệp thông minh và Khu công nghiệp tích hợp đô thị - dịch vụ. Đây không chỉ là xu hướng mà đã trở thành yêu cầu bắt buộc từ phía các nhà đầu tư quốc tế nhằm đáp ứng các tiêu chuẩn khắt khe về ESG (Môi trường - Xã hội - Quản trị) và cam kết phát thải ròng bằng 0 (Net Zero).</w:t>
      </w:r>
    </w:p>
    <w:p>
      <w:pPr>
        <w:spacing w:line="300" w:lineRule="auto" w:after="160"/>
        <w:jc w:val="both"/>
      </w:pPr>
      <w:r>
        <w:rPr>
          <w:rFonts w:ascii="Arial" w:hAnsi="Arial"/>
          <w:color w:val="2D3748"/>
          <w:sz w:val="21"/>
        </w:rPr>
        <w:t>Các khu công nghiệp thế hệ mới phải tích hợp hệ thống quản lý năng lượng tái tạo, xử lý nước thải tiên tiến, hệ thống kho bãi logistics tự động hóa và cung cấp đầy đủ các tiện ích xã hội như nhà ở công nhân, trường mầm non, khu thể thao cho người lao động. Những chủ đầu tư hạ tầng KCN đi đầu trong chuyển đổi xanh sẽ nắm giữ lợi thế tuyệt đối trong việc thu hút các dự án FDI có giá trị gia tăng cao.</w:t>
      </w:r>
    </w:p>
    <w:p>
      <w:pPr>
        <w:keepNext/>
        <w:spacing w:before="280" w:after="120"/>
      </w:pPr>
      <w:r>
        <w:rPr>
          <w:rFonts w:ascii="Arial" w:hAnsi="Arial"/>
          <w:b/>
          <w:color w:val="2B6CB0"/>
          <w:sz w:val="25"/>
        </w:rPr>
        <w:t>3.3. Bất động sản Logistics và Trung tâm dữ liệu (Data Center): Dòng vốn tích cực</w:t>
      </w:r>
    </w:p>
    <w:p>
      <w:pPr>
        <w:spacing w:line="300" w:lineRule="auto" w:after="160"/>
        <w:jc w:val="both"/>
      </w:pPr>
      <w:r>
        <w:rPr>
          <w:rFonts w:ascii="Arial" w:hAnsi="Arial"/>
          <w:color w:val="2D3748"/>
          <w:sz w:val="21"/>
        </w:rPr>
        <w:t>Sự phát triển bùng nổ của thương mại điện tử, bán bán lẻ đa kênh và mạng lưới chuỗi cung ứng lạnh đang tạo ra sự bùng nổ nhu cầu đối với bất động sản logistics. Hệ thống nhà kho cao tầng, kho thông minh (Smart Warehouse) và trung tâm phân loại tự động hóa tại các vị trí chiến lược gần cảng biển, sân bay và các nút giao cao tốc sẽ thu hút nguồn vốn đầu tư khổng lồ từ cả trong và ngoài nước.</w:t>
      </w:r>
    </w:p>
    <w:p>
      <w:pPr>
        <w:spacing w:line="300" w:lineRule="auto" w:after="160"/>
        <w:jc w:val="both"/>
      </w:pPr>
      <w:r>
        <w:rPr>
          <w:rFonts w:ascii="Arial" w:hAnsi="Arial"/>
          <w:color w:val="2D3748"/>
          <w:sz w:val="21"/>
        </w:rPr>
        <w:t>Bên cạnh đó, việc Chính phủ thúc đẩy chuyển đổi số quốc gia và quy định về lưu trữ dữ liệu nội địa đang mở ra triển vọng tươi sáng cho phân khúc trung tâm dữ liệu (Data Center) và hạ tầng số. Đây là phân khúc bất động sản chuyên biệt đòi hỏi tiêu chuẩn kỹ thuật cực kỳ khắt khe về năng lượng, làm mát và an ninh nhưng mang lại nguồn thu cho thuê dài hạn, ổn định và biên lợi nhuận vượt trội.</w:t>
      </w:r>
    </w:p>
    <w:p>
      <w:pPr>
        <w:keepNext/>
        <w:spacing w:before="360" w:after="160"/>
      </w:pPr>
      <w:r>
        <w:rPr>
          <w:rFonts w:ascii="Arial" w:hAnsi="Arial"/>
          <w:b/>
          <w:color w:val="1A365D"/>
          <w:sz w:val="30"/>
        </w:rPr>
        <w:t>CHƯƠNG 4: BẤT ĐỘNG SẢN THƯƠNG MẠI VÀ VĂN PHÒNG – SỰ THÍCH ỨNG TRONG KỶ NGUYÊN MỚI</w:t>
      </w:r>
    </w:p>
    <w:p>
      <w:pPr>
        <w:keepNext/>
        <w:spacing w:before="280" w:after="120"/>
      </w:pPr>
      <w:r>
        <w:rPr>
          <w:rFonts w:ascii="Arial" w:hAnsi="Arial"/>
          <w:b/>
          <w:color w:val="2B6CB0"/>
          <w:sz w:val="25"/>
        </w:rPr>
        <w:t>4.1. Thị trường Văn phòng: Xu hướng Tòa nhà Xanh và Mô hình Làm việc Linh hoạt</w:t>
      </w:r>
    </w:p>
    <w:p>
      <w:pPr>
        <w:spacing w:line="300" w:lineRule="auto" w:after="160"/>
        <w:jc w:val="both"/>
      </w:pPr>
      <w:r>
        <w:rPr>
          <w:rFonts w:ascii="Arial" w:hAnsi="Arial"/>
          <w:color w:val="2D3748"/>
          <w:sz w:val="21"/>
        </w:rPr>
        <w:t>Thị trường văn phòng cho thuê tại các đô thị lớn như TP. Hồ Chí Minh và Hà Nội đang chứng kiến sự thay đổi mạnh mẽ trong tiêu chí lựa chọn không gian làm việc của các doanh nghiệp. Tiêu chuẩn công trình xanh (như chứng chỉ LEED, WELL) từ chỗ là yếu tố khuyến khích nay đã trở thành tiêu chuẩn bắt buộc đối với các khách thuê là tập đoàn đa quốc gia và doanh nghiệp lớn. Các tòa nhà văn phòng cũ, thiếu tích hợp công nghệ tiết kiệm năng lượng sẽ đối mặt với nguy cơ sụt giảm giá thuê và tỷ lệ trống tăng cao.</w:t>
      </w:r>
    </w:p>
    <w:p>
      <w:pPr>
        <w:spacing w:line="300" w:lineRule="auto" w:after="160"/>
        <w:jc w:val="both"/>
      </w:pPr>
      <w:r>
        <w:rPr>
          <w:rFonts w:ascii="Arial" w:hAnsi="Arial"/>
          <w:color w:val="2D3748"/>
          <w:sz w:val="21"/>
        </w:rPr>
        <w:t>Bên cạnh đó, mô hình làm việc kết hợp (Hybrid Working) và văn phòng linh hoạt (Flex Office/Co-working) tiếp tục định hình lại diện tích thuê. Các doanh nghiệp có xu hướng tối ưu hóa diện tích mặt sàn cố định và tăng cường sử dụng các không gian làm việc chia sẻ linh hoạt để giảm thiểu chi phí vận hành. Điều này thúc đẩy các chủ tòa nhà văn phòng phải linh hoạt hơn trong điều khoản hợp đồng và tăng cường đầu tư vào tiện ích chung.</w:t>
      </w:r>
    </w:p>
    <w:p>
      <w:pPr>
        <w:keepNext/>
        <w:spacing w:before="280" w:after="120"/>
      </w:pPr>
      <w:r>
        <w:rPr>
          <w:rFonts w:ascii="Arial" w:hAnsi="Arial"/>
          <w:b/>
          <w:color w:val="2B6CB0"/>
          <w:sz w:val="25"/>
        </w:rPr>
        <w:t>4.2. Bất động sản Bán lẻ: Sự lên ngôi của Bán lẻ Trải nghiệm và Mô hình Đô thị vệ tinh</w:t>
      </w:r>
    </w:p>
    <w:p>
      <w:pPr>
        <w:spacing w:line="300" w:lineRule="auto" w:after="160"/>
        <w:jc w:val="both"/>
      </w:pPr>
      <w:r>
        <w:rPr>
          <w:rFonts w:ascii="Arial" w:hAnsi="Arial"/>
          <w:color w:val="2D3748"/>
          <w:sz w:val="21"/>
        </w:rPr>
        <w:t>Trước áp lực mạnh mẽ từ thương mại điện tử, các trung tâm thương mại truyền thống buộc phải tái cấu trúc toàn diện để tồn tại. Mô hình bán lẻ thuần túy mua sắm đang nhanh chóng nhường chỗ cho Mô hình Bán lẻ Trải nghiệm (Experiential Retail), nơi trung tâm thương mại trở thành điểm đến phức hợp tích hợp giữa ẩm thực (F&amp;B), giải trí, giáo dục, chăm sóc sức khỏe và không gian cộng đồng.</w:t>
      </w:r>
    </w:p>
    <w:p>
      <w:pPr>
        <w:spacing w:line="300" w:lineRule="auto" w:after="160"/>
        <w:jc w:val="both"/>
      </w:pPr>
      <w:r>
        <w:rPr>
          <w:rFonts w:ascii="Arial" w:hAnsi="Arial"/>
          <w:color w:val="2D3748"/>
          <w:sz w:val="21"/>
        </w:rPr>
        <w:t>Sự dịch chuyển của dân cư ra các khu đô thị vệ tinh cũng kéo theo xu hướng mở rộng của các chuỗi bán lẻ và trung tâm thương mại quy mô vừa và nhỏ về các vùng ven. Các chủ đầu tư bán lẻ nắm giữ năng lực quản lý chuỗi, khả năng quy hoạch ngành hàng đa dạng và ứng dụng công nghệ phân tích hành vi khách hàng sẽ tiếp tục duy trì tốc độ phát triển ổn định.</w:t>
      </w:r>
    </w:p>
    <w:p>
      <w:pPr>
        <w:keepNext/>
        <w:spacing w:before="280" w:after="120"/>
      </w:pPr>
      <w:r>
        <w:rPr>
          <w:rFonts w:ascii="Arial" w:hAnsi="Arial"/>
          <w:b/>
          <w:color w:val="2B6CB0"/>
          <w:sz w:val="25"/>
        </w:rPr>
        <w:t>4.3. Bất động sản Khách sạn và Du lịch nghỉ dưỡng: Chu kỳ tái cấu trúc và tìm kiếm lại vị thế</w:t>
      </w:r>
    </w:p>
    <w:p>
      <w:pPr>
        <w:spacing w:line="300" w:lineRule="auto" w:after="160"/>
        <w:jc w:val="both"/>
      </w:pPr>
      <w:r>
        <w:rPr>
          <w:rFonts w:ascii="Arial" w:hAnsi="Arial"/>
          <w:color w:val="2D3748"/>
          <w:sz w:val="21"/>
        </w:rPr>
        <w:t>Bất động sản du lịch nghỉ dưỡng là phân khúc chịu ảnh hưởng nặng nề nhất trong chu kỳ trầm lắng vừa qua và sẽ cần nhiều thời gian nhất để phục hồi hoàn toàn. Trong giai đoạn 3 năm tới, phân khúc này sẽ không còn sự phát triển ồ ạt của các sản phẩm condotel hay biệt thự biển mang tính chất đầu cơ cam kết lợi nhuận ảo.</w:t>
      </w:r>
    </w:p>
    <w:p>
      <w:pPr>
        <w:spacing w:line="300" w:lineRule="auto" w:after="160"/>
        <w:jc w:val="both"/>
      </w:pPr>
      <w:r>
        <w:rPr>
          <w:rFonts w:ascii="Arial" w:hAnsi="Arial"/>
          <w:color w:val="2D3748"/>
          <w:sz w:val="21"/>
        </w:rPr>
        <w:t>Thị trường phục hồi dựa trên nền tảng tăng trưởng thực tế của ngành du lịch, sự quay trở lại của khách quốc tế và sự bùng nổ của du lịch nội địa. Xu hướng phát triển sẽ tập trung vào các sản phẩm nghỉ dưỡng tích hợp chăm sóc sức khỏe (Wellness Resort), du lịch sinh thái, và các khu phức hợp nghỉ dưỡng được vận hành chuyên nghiệp bởi các tập đoàn quản lý khách sạn quốc tế uy tín. Các sản phẩm vướng mắc pháp lý hoặc được xây dựng tại các khu vực thiếu kết nối hạ tầng sẽ phải trải qua quá trình tái cơ cấu nợ hoặc M&amp;A đổi chủ.</w:t>
      </w:r>
    </w:p>
    <w:p>
      <w:pPr>
        <w:keepNext/>
        <w:spacing w:before="360" w:after="160"/>
      </w:pPr>
      <w:r>
        <w:rPr>
          <w:rFonts w:ascii="Arial" w:hAnsi="Arial"/>
          <w:b/>
          <w:color w:val="1A365D"/>
          <w:sz w:val="30"/>
        </w:rPr>
        <w:t>CHƯƠNG 5: HẠ TẦNG GIAO THÔNG VÀ SỰ BÙNG NỔ CỦA CÁC ĐÔ THỊ VỆ TINH</w:t>
      </w:r>
    </w:p>
    <w:p>
      <w:pPr>
        <w:keepNext/>
        <w:spacing w:before="280" w:after="120"/>
      </w:pPr>
      <w:r>
        <w:rPr>
          <w:rFonts w:ascii="Arial" w:hAnsi="Arial"/>
          <w:b/>
          <w:color w:val="2B6CB0"/>
          <w:sz w:val="25"/>
        </w:rPr>
        <w:t>5.1. Mạng lưới Cao tốc và Vành đai: Cú hích mở rộng không gian đô thị</w:t>
      </w:r>
    </w:p>
    <w:p>
      <w:pPr>
        <w:spacing w:line="300" w:lineRule="auto" w:after="160"/>
        <w:jc w:val="both"/>
      </w:pPr>
      <w:r>
        <w:rPr>
          <w:rFonts w:ascii="Arial" w:hAnsi="Arial"/>
          <w:color w:val="2D3748"/>
          <w:sz w:val="21"/>
        </w:rPr>
        <w:t>Tiến độ giải ngân vốn đầu tư công mạnh mẽ vào hệ thống hạ tầng giao thông trọng điểm quốc gia chính là biến số quan trọng nhất làm thay đổi bản đồ bất động sản Việt Nam trong 3 năm tới. Việc hoàn thiện các tuyến đường cao tốc Bắc - Nam, các đường vành đai tại Hà Nội (Vành đai 4) và TP. Hồ Chí Minh (Vành đai 3, Vành đai 4) sẽ rút ngắn đáng kể thời gian di chuyển, xóa bỏ rào cản địa lý giữa tâm đô thị và các vùng phụ cận.</w:t>
      </w:r>
    </w:p>
    <w:p>
      <w:pPr>
        <w:spacing w:line="300" w:lineRule="auto" w:after="160"/>
        <w:jc w:val="both"/>
      </w:pPr>
      <w:r>
        <w:rPr>
          <w:rFonts w:ascii="Arial" w:hAnsi="Arial"/>
          <w:color w:val="2D3748"/>
          <w:sz w:val="21"/>
        </w:rPr>
        <w:t>Sự bùng nổ hạ tầng giao thông giúp giải phóng tiềm năng của hàng nghìn ha quỹ đất ven đô, biến những vùng đất nông nghiệp hoặc chậm phát triển trước đây thành các trung tâm đô thị, công nghiệp và dịch vụ mới. Giá trị bất động sản tại các khu vực hưởng lợi từ hạ tầng sẽ thiết lập mặt bằng giá mới một cách bền vững, dựa trên khả năng kết nối giao thông thực tế thay vì những đồn đoán mơ hồ.</w:t>
      </w:r>
    </w:p>
    <w:p>
      <w:pPr>
        <w:keepNext/>
        <w:spacing w:before="280" w:after="120"/>
      </w:pPr>
      <w:r>
        <w:rPr>
          <w:rFonts w:ascii="Arial" w:hAnsi="Arial"/>
          <w:b/>
          <w:color w:val="2B6CB0"/>
          <w:sz w:val="25"/>
        </w:rPr>
        <w:t>5.2. Mô hình TOD (Phát triển đô thị gắn kết với giao thông công cộng): Xu hướng không thể đảo ngược</w:t>
      </w:r>
    </w:p>
    <w:p>
      <w:pPr>
        <w:spacing w:line="300" w:lineRule="auto" w:after="160"/>
        <w:jc w:val="both"/>
      </w:pPr>
      <w:r>
        <w:rPr>
          <w:rFonts w:ascii="Arial" w:hAnsi="Arial"/>
          <w:color w:val="2D3748"/>
          <w:sz w:val="21"/>
        </w:rPr>
        <w:t>Mô hình phát triển đô thị định hướng giao thông công cộng (TOD - Transit-Oriented Development) sẽ trở thành kim chỉ nam cho quy hoạch đô thị tại các siêu đô thị như Hà Nội và TP. Hồ Chí Minh trong giai đoạn 2026 – 2029. Các tuyến đường sắt đô thị (Metro) đi vào vận hành cùng hệ thống xe bus nhanh sẽ hình thành nên các điểm kết nối giao thông quan trọng.</w:t>
      </w:r>
    </w:p>
    <w:p>
      <w:pPr>
        <w:spacing w:line="300" w:lineRule="auto" w:after="160"/>
        <w:jc w:val="both"/>
      </w:pPr>
      <w:r>
        <w:rPr>
          <w:rFonts w:ascii="Arial" w:hAnsi="Arial"/>
          <w:color w:val="2D3748"/>
          <w:sz w:val="21"/>
        </w:rPr>
        <w:t>Xung quanh các ga Metro và nút giao thông trọng điểm, các dự án bất động sản phức hợp mật độ cao bao gồm căn hộ, văn phòng, trung tâm thương mại và không gian đi bộ sẽ phát triển bùng nổ. Mô hình TOD không chỉ giúp giải quyết bài toán ùn tắc giao thông, ô nhiễm môi trường mà còn tạo ra giá trị gia tăng cực kỳ cao cho các dự án bất động sản tích hợp.</w:t>
      </w:r>
    </w:p>
    <w:p>
      <w:pPr>
        <w:keepNext/>
        <w:spacing w:before="280" w:after="120"/>
      </w:pPr>
      <w:r>
        <w:rPr>
          <w:rFonts w:ascii="Arial" w:hAnsi="Arial"/>
          <w:b/>
          <w:color w:val="2B6CB0"/>
          <w:sz w:val="25"/>
        </w:rPr>
        <w:t>5.3. Sự dịch chuyển dân cư và xu hướng hình thành các Siêu đô thị vệ tinh</w:t>
      </w:r>
    </w:p>
    <w:p>
      <w:pPr>
        <w:spacing w:line="300" w:lineRule="auto" w:after="160"/>
        <w:jc w:val="both"/>
      </w:pPr>
      <w:r>
        <w:rPr>
          <w:rFonts w:ascii="Arial" w:hAnsi="Arial"/>
          <w:color w:val="2D3748"/>
          <w:sz w:val="21"/>
        </w:rPr>
        <w:t>Áp lực về quá tải hạ tầng, ô nhiễm không khí và chi phí sinh hoạt đắt đỏ tại khu vực lõi trung tâm đang thúc đẩy một làn sóng dịch chuyển dân cư tự nhiên sang các đại đô thị vệ tinh. Các đại đô thị ven đô được quy hoạch bài bản với không gian sống xanh, đầy đủ hệ thống trường học, bệnh viện, công viên và tiện ích giải trí đang trở thành lựa chọn hàng đầu của gia đình trẻ và tầng lớp trung lưu.</w:t>
      </w:r>
    </w:p>
    <w:p>
      <w:pPr>
        <w:spacing w:line="300" w:lineRule="auto" w:after="160"/>
        <w:jc w:val="both"/>
      </w:pPr>
      <w:r>
        <w:rPr>
          <w:rFonts w:ascii="Arial" w:hAnsi="Arial"/>
          <w:color w:val="2D3748"/>
          <w:sz w:val="21"/>
        </w:rPr>
        <w:t>Sự chuyển dịch này tạo ra dòng tiền bất động sản mới, giảm bớt áp lực cho khu vực trung tâm và thúc đẩy sự phát triển kinh tế đồng đều giữa các địa phương. Các chủ đầu tư có năng lực phát triển các dự án quy mô hàng trăm ha với hạ tầng xã hội hoàn chỉnh sẽ là những người chiến thắng lớn nhất trong xu hướng dịch chuyển này.</w:t>
      </w:r>
    </w:p>
    <w:p>
      <w:pPr>
        <w:keepNext/>
        <w:spacing w:before="360" w:after="160"/>
      </w:pPr>
      <w:r>
        <w:rPr>
          <w:rFonts w:ascii="Arial" w:hAnsi="Arial"/>
          <w:b/>
          <w:color w:val="1A365D"/>
          <w:sz w:val="30"/>
        </w:rPr>
        <w:t>CHƯƠNG 6: XU HƯỚNG BẤT ĐỘNG SẢN XANH, CÔNG NGHỆ (PROPTECH) VÀ CHUYỂN ĐỔI SỐ</w:t>
      </w:r>
    </w:p>
    <w:p>
      <w:pPr>
        <w:keepNext/>
        <w:spacing w:before="280" w:after="120"/>
      </w:pPr>
      <w:r>
        <w:rPr>
          <w:rFonts w:ascii="Arial" w:hAnsi="Arial"/>
          <w:b/>
          <w:color w:val="2B6CB0"/>
          <w:sz w:val="25"/>
        </w:rPr>
        <w:t>6.1. Bất động sản Xanh và Tiêu chuẩn ESG: Từ xu hướng thời thượng đến yêu cầu bắt buộc</w:t>
      </w:r>
    </w:p>
    <w:p>
      <w:pPr>
        <w:spacing w:line="300" w:lineRule="auto" w:after="160"/>
        <w:jc w:val="both"/>
      </w:pPr>
      <w:r>
        <w:rPr>
          <w:rFonts w:ascii="Arial" w:hAnsi="Arial"/>
          <w:color w:val="2D3748"/>
          <w:sz w:val="21"/>
        </w:rPr>
        <w:t>Trong 3 năm tới, công trình xanh và việc tuân thủ các tiêu chuẩn ESG (Môi trường - Xã hội - Quản trị) sẽ không còn là một chiêu trò tiếp thị đơn thuần mà trở thành điều kiện tiên quyết để dự án thành công. Áp lực từ các chính sách biến đổi khí hậu của Chính phủ, yêu cầu khắt khe từ các quỹ đầu tư quốc tế và nhận thức ngày càng cao của người tiêu dùng đang thúc đẩy toàn bộ chuỗi giá trị bất động sản phải chuyển đổi xanh.</w:t>
      </w:r>
    </w:p>
    <w:p>
      <w:pPr>
        <w:spacing w:line="300" w:lineRule="auto" w:after="160"/>
        <w:jc w:val="both"/>
      </w:pPr>
      <w:r>
        <w:rPr>
          <w:rFonts w:ascii="Arial" w:hAnsi="Arial"/>
          <w:color w:val="2D3748"/>
          <w:sz w:val="21"/>
        </w:rPr>
        <w:t>Các dự án đạt tiêu chuẩn xanh không chỉ giúp giảm chi phí vận hành (tiết kiệm điện, nước, năng lượng), bảo vệ sức khỏe cư dân mà còn có khả năng tiếp cận nguồn vốn tín dụng xanh với lãi suất ưu đãi hơn. Ngược lại, các dự án không đáp ứng tiêu chuẩn bền vững sẽ đối mặt với rủi ro bị thị trường quay lưng và chi phí tài chính gia tăng.</w:t>
      </w:r>
    </w:p>
    <w:p>
      <w:pPr>
        <w:keepNext/>
        <w:spacing w:before="280" w:after="120"/>
      </w:pPr>
      <w:r>
        <w:rPr>
          <w:rFonts w:ascii="Arial" w:hAnsi="Arial"/>
          <w:b/>
          <w:color w:val="2B6CB0"/>
          <w:sz w:val="25"/>
        </w:rPr>
        <w:t>6.2. Ứng dụng Proptech và Chuyển đổi số trong Chuỗi giá trị Bất động sản</w:t>
      </w:r>
    </w:p>
    <w:p>
      <w:pPr>
        <w:spacing w:line="300" w:lineRule="auto" w:after="160"/>
        <w:jc w:val="both"/>
      </w:pPr>
      <w:r>
        <w:rPr>
          <w:rFonts w:ascii="Arial" w:hAnsi="Arial"/>
          <w:color w:val="2D3748"/>
          <w:sz w:val="21"/>
        </w:rPr>
        <w:t>Làn sóng công nghệ bất động sản (Proptech) tiếp tục thâm nhập sâu rộng vào mọi khâu của ngành bất động sản, từ nghiên cứu thị trường, quy hoạch, thiết kế, thi công, quản lý dự án cho đến phân phối và vận hành. Công nghệ thực tế ảo (VR/AR), trí tuệ nhân tạo (AI) và phân tích dữ liệu lớn (Big Data) giúp cá nhân hóa trải nghiệm khách hàng, tối ưu hóa quy trình bán hàng và dự báo chính xác nhu cầu thị trường.</w:t>
      </w:r>
    </w:p>
    <w:p>
      <w:pPr>
        <w:spacing w:line="300" w:lineRule="auto" w:after="160"/>
        <w:jc w:val="both"/>
      </w:pPr>
      <w:r>
        <w:rPr>
          <w:rFonts w:ascii="Arial" w:hAnsi="Arial"/>
          <w:color w:val="2D3748"/>
          <w:sz w:val="21"/>
        </w:rPr>
        <w:t>Trong khâu quản lý vận hành, các giải pháp tòa nhà thông minh (Smart Building) ứng dụng IoT (Internet kết nối mọi thứ) giúp tối ưu hóa việc tiêu thụ năng lượng, nâng cao tính an ninh và gia tăng sự hài lòng của cư dân. Doanh nghiệp bất động sản tiên phong trong chuyển đổi số sẽ nâng cao đáng kể hiệu quả hoạt động và tạo ra lợi thế cạnh tranh khác biệt.</w:t>
      </w:r>
    </w:p>
    <w:p>
      <w:pPr>
        <w:keepNext/>
        <w:spacing w:before="280" w:after="120"/>
      </w:pPr>
      <w:r>
        <w:rPr>
          <w:rFonts w:ascii="Arial" w:hAnsi="Arial"/>
          <w:b/>
          <w:color w:val="2B6CB0"/>
          <w:sz w:val="25"/>
        </w:rPr>
        <w:t>6.3. Sự thay đổi trong tư duy tiêu dùng bất động sản của thế hệ Millennials và Gen Z</w:t>
      </w:r>
    </w:p>
    <w:p>
      <w:pPr>
        <w:spacing w:line="300" w:lineRule="auto" w:after="160"/>
        <w:jc w:val="both"/>
      </w:pPr>
      <w:r>
        <w:rPr>
          <w:rFonts w:ascii="Arial" w:hAnsi="Arial"/>
          <w:color w:val="2D3748"/>
          <w:sz w:val="21"/>
        </w:rPr>
        <w:t>Thế hệ Millennials và Gen Z đang dần trở thành lực lượng tiêu dùng và đầu tư chính trên thị trường bất động sản. Khác với các thế hệ trước coi bất động sản là tài sản tích lũy truyền thống, thế hệ trẻ đặt cao tính linh hoạt, trải nghiệm sống, sự kết nối cộng đồng và các tiện ích công nghệ.</w:t>
      </w:r>
    </w:p>
    <w:p>
      <w:pPr>
        <w:spacing w:line="300" w:lineRule="auto" w:after="160"/>
        <w:jc w:val="both"/>
      </w:pPr>
      <w:r>
        <w:rPr>
          <w:rFonts w:ascii="Arial" w:hAnsi="Arial"/>
          <w:color w:val="2D3748"/>
          <w:sz w:val="21"/>
        </w:rPr>
        <w:t>Xu hướng này thúc đẩy sự phát triển của các mô hình nhà ở thông minh (Smart Home), không gian sống chung (Co-living), và các căn hộ có thiết kế linh hoạt phù hợp cho công việc tự do (Freelance/Remote Work). Các nhà phát triển bất động sản buộc phải thay đổi tư duy thiết kế sản phẩm và chiến lược truyền thông để tiếp cận và chinh phục nhóm khách hàng mục tiêu đầy tiềm năng này.</w:t>
      </w:r>
    </w:p>
    <w:p>
      <w:pPr>
        <w:keepNext/>
        <w:spacing w:before="360" w:after="160"/>
      </w:pPr>
      <w:r>
        <w:rPr>
          <w:rFonts w:ascii="Arial" w:hAnsi="Arial"/>
          <w:b/>
          <w:color w:val="1A365D"/>
          <w:sz w:val="30"/>
        </w:rPr>
        <w:t>CHƯƠNG 7: KỊCH BẢN PHÁT TRIỂN, RỦI RO CHIẾN LƯỢC VÀ KHUYẾN NGHỊ ĐẦU TƯ</w:t>
      </w:r>
    </w:p>
    <w:p>
      <w:pPr>
        <w:keepNext/>
        <w:spacing w:before="280" w:after="120"/>
      </w:pPr>
      <w:r>
        <w:rPr>
          <w:rFonts w:ascii="Arial" w:hAnsi="Arial"/>
          <w:b/>
          <w:color w:val="2B6CB0"/>
          <w:sz w:val="25"/>
        </w:rPr>
        <w:t>7.1. Các kịch bản phát triển của thị trường bất động sản giai đoạn 2026 – 2029</w:t>
      </w:r>
    </w:p>
    <w:p>
      <w:pPr>
        <w:spacing w:line="300" w:lineRule="auto" w:after="160"/>
        <w:jc w:val="both"/>
      </w:pPr>
      <w:r>
        <w:rPr>
          <w:rFonts w:ascii="Arial" w:hAnsi="Arial"/>
          <w:color w:val="2D3748"/>
          <w:sz w:val="21"/>
        </w:rPr>
        <w:t>Dựa trên các phân tích tổng hợp về vĩ mô, pháp lý và nguồn vốn, thị trường bất động sản 3 năm tới được dự báo vận hành theo hai kịch bản chính:</w:t>
      </w:r>
    </w:p>
    <w:p>
      <w:pPr>
        <w:spacing w:line="300" w:lineRule="auto" w:after="160"/>
        <w:jc w:val="both"/>
      </w:pPr>
      <w:r>
        <w:rPr>
          <w:rFonts w:ascii="Arial" w:hAnsi="Arial"/>
          <w:color w:val="2D3748"/>
          <w:sz w:val="21"/>
        </w:rPr>
        <w:t>Kịch bản Cơ sở (Xác suất 70%): Thị trường phục hồi theo mô hình hình chữ U kéo dài, phát triển ổn định, lành mạnh và đi vào chiều sâu. Nguồn cung mới tăng dần nhưng được kiểm soát tốt; giá bất động sản tăng trưởng tích lũy ở mức hợp lý (từ 5% - 8%/năm), tiệm cận với tốc độ tăng trưởng thu nhập và lạm phát. Phân khúc nhà ở giá bình dân, bất động sản công nghiệp và hạ tầng logistics đóng vai trò là động lực tăng trưởng chính.</w:t>
      </w:r>
    </w:p>
    <w:p>
      <w:pPr>
        <w:spacing w:line="300" w:lineRule="auto" w:after="160"/>
        <w:jc w:val="both"/>
      </w:pPr>
      <w:r>
        <w:rPr>
          <w:rFonts w:ascii="Arial" w:hAnsi="Arial"/>
          <w:color w:val="2D3748"/>
          <w:sz w:val="21"/>
        </w:rPr>
        <w:t>Kịch bản Đột phá (Xác suất 30%): Nhờ sự bứt phá mạnh mẽ của dòng vốn FDI, giải ngân hạ tầng vượt tiến độ và sự phục hồi nhanh chóng của kinh tế toàn cầu, thị trường bất động sản bước vào chu kỳ tăng trưởng bùng nổ mới từ cuối năm 2027. Thanh khoản tăng mạnh trên tất cả các phân khúc, dòng tiền quốc tế đổ mạnh vào các thương vụ M&amp;A và phát triển đại đô thị.</w:t>
      </w:r>
    </w:p>
    <w:p>
      <w:pPr>
        <w:keepNext/>
        <w:spacing w:before="280" w:after="120"/>
      </w:pPr>
      <w:r>
        <w:rPr>
          <w:rFonts w:ascii="Arial" w:hAnsi="Arial"/>
          <w:b/>
          <w:color w:val="2B6CB0"/>
          <w:sz w:val="25"/>
        </w:rPr>
        <w:t>7.2. Nhận diện các rủi ro trọng yếu đối với thị trường</w:t>
      </w:r>
    </w:p>
    <w:p>
      <w:pPr>
        <w:spacing w:line="300" w:lineRule="auto" w:after="160"/>
        <w:jc w:val="both"/>
      </w:pPr>
      <w:r>
        <w:rPr>
          <w:rFonts w:ascii="Arial" w:hAnsi="Arial"/>
          <w:color w:val="2D3748"/>
          <w:sz w:val="21"/>
        </w:rPr>
        <w:t>Mặc dù triển vọng phục hồi là rõ nét, thị trường vẫn tiềm ẩn một số rủi ro chiến lược mà các bên tham gia cần cẩn trọng giám sát:</w:t>
      </w:r>
    </w:p>
    <w:p>
      <w:pPr>
        <w:spacing w:line="300" w:lineRule="auto" w:after="160"/>
        <w:jc w:val="both"/>
      </w:pPr>
      <w:r>
        <w:rPr>
          <w:rFonts w:ascii="Arial" w:hAnsi="Arial"/>
          <w:color w:val="2D3748"/>
          <w:sz w:val="21"/>
        </w:rPr>
        <w:t>Rủi ro chi phí đầu vào gia tăng: Giá đất theo cơ chế thị trường, chi phí vật liệu xây dựng và chi phí tuân thủ quy chuẩn môi trường mới có thể đẩy giá thành sản xuất bất động sản lên cao, gây khó khăn cho việc phát triển các sản phẩm bình dân.</w:t>
      </w:r>
    </w:p>
    <w:p>
      <w:pPr>
        <w:spacing w:line="300" w:lineRule="auto" w:after="160"/>
        <w:jc w:val="both"/>
      </w:pPr>
      <w:r>
        <w:rPr>
          <w:rFonts w:ascii="Arial" w:hAnsi="Arial"/>
          <w:color w:val="2D3748"/>
          <w:sz w:val="21"/>
        </w:rPr>
        <w:t>Rủi ro đòn bẩy tài chính và thanh khoản cục bộ: Mặc dù hệ thống ngân hàng được kiểm soát tốt, áp lực đáo hạn trái phiếu và các khoản nợ cũ vẫn có thể tạo ra rủi ro thanh khoản cục bộ cho một số doanh nghiệp chưa hoàn tất quá trình tái cơ cấu.</w:t>
      </w:r>
    </w:p>
    <w:p>
      <w:pPr>
        <w:spacing w:line="300" w:lineRule="auto" w:after="160"/>
        <w:jc w:val="both"/>
      </w:pPr>
      <w:r>
        <w:rPr>
          <w:rFonts w:ascii="Arial" w:hAnsi="Arial"/>
          <w:color w:val="2D3748"/>
          <w:sz w:val="21"/>
        </w:rPr>
        <w:t>Rủi ro biến động địa chính trị và suy giảm dòng vốn ngoại: Những bất ổn địa chính trị toàn cầu bất ngờ có thể làm gián đoạn chuỗi cung ứng và ảnh hưởng tiêu cực đến tâm lý nhà đầu tư FDI.</w:t>
      </w:r>
    </w:p>
    <w:p>
      <w:pPr>
        <w:keepNext/>
        <w:spacing w:before="280" w:after="120"/>
      </w:pPr>
      <w:r>
        <w:rPr>
          <w:rFonts w:ascii="Arial" w:hAnsi="Arial"/>
          <w:b/>
          <w:color w:val="2B6CB0"/>
          <w:sz w:val="25"/>
        </w:rPr>
        <w:t>7.3. Khuyến nghị chiến lược cho Chủ đầu tư, Tổ chức tài chính và Nhà đầu tư</w:t>
      </w:r>
    </w:p>
    <w:p>
      <w:pPr>
        <w:spacing w:line="300" w:lineRule="auto" w:after="160"/>
        <w:jc w:val="both"/>
      </w:pPr>
      <w:r>
        <w:rPr>
          <w:rFonts w:ascii="Arial" w:hAnsi="Arial"/>
          <w:color w:val="2D3748"/>
          <w:sz w:val="21"/>
        </w:rPr>
        <w:t>Đối với các Chủ đầu tư và Nhà phát triển dự án: Cần tập trung hoàn thiện pháp lý, tái cơ cấu danh mục sản phẩm hướng về nhu cầu thực. Tối ưu hóa cấu trúc vốn, giảm phụ thuộc vào đòn bẩy ngắn hạn, đồng thời chủ động đầu tư vào tiêu chuẩn xanh (ESG) và công nghệ quản lý để gia tăng giá trị sản phẩm.</w:t>
      </w:r>
    </w:p>
    <w:p>
      <w:pPr>
        <w:spacing w:line="300" w:lineRule="auto" w:after="160"/>
        <w:jc w:val="both"/>
      </w:pPr>
      <w:r>
        <w:rPr>
          <w:rFonts w:ascii="Arial" w:hAnsi="Arial"/>
          <w:color w:val="2D3748"/>
          <w:sz w:val="21"/>
        </w:rPr>
        <w:t>Đối với các Tổ chức tài chính và Ngân hàng: Cần duy trì chính sách tín dụng linh hoạt nhưng kiểm soát chặt chẽ rủi ro. Tập trung tài trợ vốn cho các dự án có pháp lý hoàn chỉnh, tiến độ tốt, sản phẩm đáp ứng nhu cầu ở thực và các chủ đầu tư có năng lực triển khai thực tế.</w:t>
      </w:r>
    </w:p>
    <w:p>
      <w:pPr>
        <w:spacing w:line="300" w:lineRule="auto" w:after="160"/>
        <w:jc w:val="both"/>
      </w:pPr>
      <w:r>
        <w:rPr>
          <w:rFonts w:ascii="Arial" w:hAnsi="Arial"/>
          <w:color w:val="2D3748"/>
          <w:sz w:val="21"/>
        </w:rPr>
        <w:t>Đối với Nhà đầu tư cá nhân: Cần chuyển đổi tư duy từ đầu cơ 'lướt sóng' sang đầu tư trung và dài hạn dựa trên dòng tiền và giá trị sử dụng thực. Ưu tiên các sản phẩm tại các khu vực có hạ tầng hoàn thiện, pháp lý rõ ràng và có khả năng khai thác cho thuê hoặc sinh lời bền vững.</w:t>
      </w:r>
    </w:p>
    <w:p>
      <w:pPr>
        <w:keepNext/>
        <w:spacing w:before="360" w:after="160"/>
      </w:pPr>
      <w:r>
        <w:rPr>
          <w:rFonts w:ascii="Arial" w:hAnsi="Arial"/>
          <w:b/>
          <w:color w:val="1A365D"/>
          <w:sz w:val="30"/>
        </w:rPr>
        <w:t>KẾT LUẬN</w:t>
      </w:r>
    </w:p>
    <w:p>
      <w:pPr>
        <w:spacing w:line="300" w:lineRule="auto" w:after="160"/>
        <w:jc w:val="both"/>
      </w:pPr>
      <w:r>
        <w:rPr>
          <w:rFonts w:ascii="Arial" w:hAnsi="Arial"/>
          <w:color w:val="2D3748"/>
          <w:sz w:val="21"/>
        </w:rPr>
        <w:t>Thị trường bất động sản Việt Nam giai đoạn 2026 – 2029 đang đứng trước cơ hội lịch sử để lột xác, bước vào một chu kỳ phát triển minh bạch, chuyên nghiệp và bền vững hơn. Sự sàng lọc tự nhiên của thị trường cùng với sự quyết liệt trong cải cách thể chế sẽ loại bỏ những yếu tố kém lành mạnh, nhường chỗ cho những giá trị thực và những nhà phát triển có tâm, có tầm. Việc nắm bắt chính xác các xu hướng lớn, hiểu rõ bản chất của chu kỳ mới và áp dụng chiến lược quản trị rủi ro linh hoạt sẽ là chìa khóa vàng giúp các doanh nghiệp và nhà đầu tư gặt hái thành công trong giai đoạn bước ngoặt này.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