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หมวดที่  2   ข้อมูลเฉพาะของหลักสูตร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ปรัชญา  ความสำคัญ  และวัตถุประสงค์ของหลักสูตร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1110" w:right="0" w:hanging="39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ปรัชญา ความสำคัญ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11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เพื่อผลิตบัณฑิตนักปฏิบัติด้านระบบสารสนเทศ ให้เป็นผู้มีความรู้ ความเชี่ยวชาญ และสามารถนำมาประยุกต์ใช้งานทางด้านธุรกิจ   มีความเป็นผู้นำ มีทักษะในการทำงานเป็นทีม   มีคุณธรรมจริยธรรม  และจรรยาบรรณทางวิชาชีพ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72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1.2  วัตถุประสงค์ของหลักสูตร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08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1.2.1  เพื่อผลิตบุคลากรที่มีความรู้ ความสามารถเพื่อปฏิบัติงานในหน้าที่ ผู้พัฒนาและจัดการระบบสารสนเทศในหน่วยงาน     ผู้พัฒนาซอฟต์แวร์ในตำแหน่งต่าง ๆ    ผู้บริหารหน่วยงาน นักวิชาการ  วิทยากร  และพนักงานเจ้าหน้าที่ในสาขาที่ได้ศึกษามา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08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1.2.2  ผลิตบุคลากรให้เป็นผู้มีความรู้  มีทักษะในการทำงานเป็นทีม  ความสามารถในการปฏิบัติงานบริหารและงานวิชาการที่มีความรู้ความสามารถในงานบริหารทั่วไปและการบริหาร งานที่เกี่ยวกับการวิจัยข้อมูล  การวางแผน  การออกแบบ  การควบคุม   การตัดสินใจในทางเทคนิค  เข้าใจวิธีการใช้ข้อมูลและสารสนเทศให้เป็นประโยชน์ต่อการดำเนินงานบริหาร การพัฒนาซอฟต์แวร์  การจัดการสารสนเทศในหน่วยงาน    และวิธีการดำเนินงานเกี่ยวกับการใช้เทคโนโลยีสารสนเทศในธุรกิจด้านต่าง ๆ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08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1.2.3  เพื่อฝึกอบรมให้มีความคิดริเริ่มมีกิจวิสัยในการค้นคว้า  การวิจัย   ปรับปรุงตนเองให้ก้าวหน้าอยู่เสมอ แก้ไขปัญหาและตัดสินใจโดยการใช้หลักการและเหตุผล อำนวยการและปฏิบัติการด้วยหลักวิชาการที่มีการวางแผนการปฏิบัติงาน และการควบคุมงานอย่างมีประสิทธิภาพ ก่อให้เกิดผลสัมฤทธิ์ตามเป้าหมายอย่างประหยัดรวดเร็วตรงต่อเวลาและมีคุณภาพ สามารถวัดผลงานนั้นได้ทั้งเชิงคุณภาพและปริมาณ</w:t>
      </w: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08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1.2.4  เพื่อปลูกฝังจิตสำนึกทางด้านความรับผิดชอบต่อหน้าที่    มีคุณธรรม มีจริยธรรม มีระเบียบวินัยและความซื่อสัตย์สุจริต  ความขยันหมั่นเพียรตรงต่อเวลา  มีความสำนึกในจรรยาวิชา  ชีพและความรับผิดชอบต่อสังคมและประเทศชาติ ให้เป็นบุคคลที่ทั้งมีความเก่ง มีความดีและมีวินัย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1080"/>
        <w:contextualSpacing w:val="0"/>
        <w:jc w:val="both"/>
        <w:rPr>
          <w:rFonts w:ascii="TH SarabunPSK" w:cs="TH SarabunPSK" w:eastAsia="TH SarabunPSK" w:hAnsi="TH Sarabun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แผนพัฒนาปรับปรุง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hanging="360"/>
        <w:contextualSpacing w:val="0"/>
        <w:jc w:val="both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2700"/>
        <w:gridCol w:w="2880"/>
        <w:tblGridChange w:id="0">
          <w:tblGrid>
            <w:gridCol w:w="2700"/>
            <w:gridCol w:w="2700"/>
            <w:gridCol w:w="288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แผนการพัฒนา/</w:t>
              <w:br w:type="textWrapping"/>
              <w:t xml:space="preserve">เปลี่ยนแปลง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กลยุทธ์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หลักฐาน/ตัวบ่งชี้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พัฒนาหลักสูตรตามมาตรฐานคุณวุฒิระดับปริญญาตรี สาขาคอมพิวเตอร์ พ.ศ. 2552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พัฒนาหลักสูตรโดยมีพื้นฐานจากหลักสูตรในระดับสากล (ACM/IEEE)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การเลือกอาจารย์ประจำหลักสูตร/ อาจารย์ผู้รับผิดชอบหลักสูตรเป็นไปตามประกาศกระทรวงศึกษาธิการ โดยมีคณะกรรมการประจำคณะและคณบดีเป็นผู้กำกับดูแลและคอยให้คำแนะนำ รวมถึงกำหนดนโยบายปฏิบัติ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อาจารย์ประจำหลักสูตร / อาจารย์ผู้รับผิดชอบหลักสูตร ดำเนินการวางแผนการจัดการเรียนการสอนร่วมกับผู้บริหารคณะและอาจารย์ผู้สอน ติดตามรวบรวมข้อมูลเพื่อใช้ในการปรับปรุงพัฒนาหลักสูตรโดยกระทำทุกปีอย่างต่อเนื่อง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มีระบบประกันคุณภาพการศึกษาภายในที่มีการตรวจประเมินผลทุกปีการศึกษาและนำผลการประเมินมาปรับปรุงให้ดำรงไว้ซึ่งมาตรฐานหลักสูตรของสำนักงานคณะกรรมการการอุดมศึกษาและองค์กรวิชาชีพ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เชิญผู้เชี่ยวชาญทั้งภาครัฐและเอกชนมามีส่วนร่วมในการพัฒนาหลักสูตร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both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เอกสารปรับปรุงหลักสูตร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รายงานผลการประเมินหลักสูตรจาก สกอ.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รายงานการประชุมกรรมการบริหารคณะ และ รายงานการประชุมสาขา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เอกสารการประกันคุณภาพภายใน เช่น มคอ.3 มคอ. 5 มคอ.7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 </w:t>
            </w: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พัฒนาหลักสูตรให้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สอดคล้องกับความ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ต้องการของผู้ใช้บัณฑิต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 ติดตามความเปลี่ยนแปลง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ความต้องการของผู้ประกอบ การด้านการบริหารจัดการองค์กร/ธุรกิจ ในทุกปี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รายงานผลการประเมินความพึงพอใจในการใช้บัณฑิตของผู้ประกอบการประจำปี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ผู้ใช้บัณฑิตมีความพึงพอใจในด้านทักษะ  ความรู้  ความ สามารถในการทำงาน โดยเฉลี่ยในระดับดี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งานวิจัยประกอบการพัฒนาหลักสูตร เรื่อง ปัจจัยที่มีผลต่อผลสัมฤทธิ์ทางการศึกษาของบัณฑิตสาขาระบบสารสนเทศมหาวิทยาลัยเทคโนโลยีราชมงคลอีสา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พัฒนาบุคลากร ทรัพยากรให้สอดคล้องกับหลักสูตร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มีการจัดสรรทรัพยากรเพื่อพัฒนาการเรียนการสอน เช่น ห้องปฏิบัติการคอมพิวเตอร์ ห้องสมุด ห้องสืบค้น ฐานข้อมูลวิชาการทางอินเทอค์เน็ต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สนับสนุนบุคลากรด้านการเรียนการสอน  ให้ทำวิจัยและบริการวิชาการแก่องค์กรภายนอก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 สนับสนุนบุคลากรให้มีคุณวุฒิและตำแหน่งทางวิชาการสูงขึ้น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สนับสนุนให้อาจารย์เข้าฝึกอบรมเพื่อเพิ่มพูนความรู้ในสาขาวิชาชีพอย่างต่อเนื่องทุกปี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รายงานครุภัณฑ์ประจำคณะ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ปริมาณงานวิจัยและงานบริการวิชาการต่ออาจารย์ในหลักสูตร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 ปริมาณอาจารย์ประจำที่ดำรงตำแหน่งทางวิชาการ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 รายงานการเข้าฝึกอบรมทักษะวิชาชีพของอาจารย์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080"/>
                <w:tab w:val="left" w:pos="144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H SarabunPSK" w:cs="TH SarabunPSK" w:eastAsia="TH SarabunPSK" w:hAnsi="TH SarabunPSK"/>
                <w:b w:val="0"/>
                <w:i w:val="0"/>
                <w:smallCaps w:val="0"/>
                <w:strike w:val="0"/>
                <w:color w:val="ff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155"/>
        </w:tabs>
        <w:ind w:left="720"/>
        <w:contextualSpacing w:val="0"/>
        <w:rPr>
          <w:rFonts w:ascii="TH SarabunPSK" w:cs="TH SarabunPSK" w:eastAsia="TH SarabunPSK" w:hAnsi="TH SarabunPSK"/>
        </w:rPr>
      </w:pPr>
      <w:bookmarkStart w:colFirst="0" w:colLast="0" w:name="_gjdgxs" w:id="0"/>
      <w:bookmarkEnd w:id="0"/>
      <w:r w:rsidDel="00000000" w:rsidR="00000000" w:rsidRPr="00000000">
        <w:rPr>
          <w:rFonts w:ascii="TH SarabunPSK" w:cs="TH SarabunPSK" w:eastAsia="TH SarabunPSK" w:hAnsi="TH SarabunPSK"/>
          <w:rtl w:val="0"/>
        </w:rPr>
        <w:tab/>
      </w:r>
    </w:p>
    <w:sectPr>
      <w:headerReference r:id="rId6" w:type="default"/>
      <w:headerReference r:id="rId7" w:type="even"/>
      <w:footerReference r:id="rId8" w:type="even"/>
      <w:pgSz w:h="16838" w:w="11906"/>
      <w:pgMar w:bottom="1440" w:top="2160" w:left="1797" w:right="1797" w:header="851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ngsana New"/>
  <w:font w:name="Arial"/>
  <w:font w:name="Times New Roman"/>
  <w:font w:name="AngsanaUPC"/>
  <w:font w:name="Cordia New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360" w:line="240" w:lineRule="auto"/>
      <w:ind w:left="0" w:right="0" w:firstLine="0"/>
      <w:contextualSpacing w:val="0"/>
      <w:jc w:val="center"/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1110" w:hanging="390"/>
      </w:pPr>
      <w:rPr/>
    </w:lvl>
    <w:lvl w:ilvl="2">
      <w:start w:val="1"/>
      <w:numFmt w:val="decimalZero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gsana New" w:cs="Angsana New" w:eastAsia="Angsana New" w:hAnsi="Angsana New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/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firstLine="720"/>
      <w:jc w:val="both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right="-143"/>
      <w:jc w:val="both"/>
    </w:pPr>
    <w:rPr/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ngsanaUPC" w:cs="AngsanaUPC" w:eastAsia="AngsanaUPC" w:hAnsi="AngsanaUPC"/>
      <w:b w:val="1"/>
    </w:rPr>
  </w:style>
  <w:style w:type="paragraph" w:styleId="Subtitle">
    <w:name w:val="Subtitle"/>
    <w:basedOn w:val="Normal"/>
    <w:next w:val="Normal"/>
    <w:pPr>
      <w:ind w:right="-29"/>
      <w:jc w:val="center"/>
    </w:pPr>
    <w:rPr>
      <w:rFonts w:ascii="Cordia New" w:cs="Cordia New" w:eastAsia="Cordia New" w:hAnsi="Cordia New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