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40" w:line="259" w:lineRule="auto"/>
        <w:rPr>
          <w:rFonts w:ascii="Calibri" w:cs="Calibri" w:eastAsia="Calibri" w:hAnsi="Calibri"/>
          <w:b w:val="1"/>
          <w:color w:val="1e4d78"/>
        </w:rPr>
      </w:pPr>
      <w:bookmarkStart w:colFirst="0" w:colLast="0" w:name="_k4evxxkv1wbp" w:id="0"/>
      <w:bookmarkEnd w:id="0"/>
      <w:r w:rsidDel="00000000" w:rsidR="00000000" w:rsidRPr="00000000">
        <w:rPr>
          <w:rFonts w:ascii="Calibri" w:cs="Calibri" w:eastAsia="Calibri" w:hAnsi="Calibri"/>
          <w:b w:val="1"/>
          <w:color w:val="1e4d78"/>
          <w:rtl w:val="0"/>
        </w:rPr>
        <w:t xml:space="preserve">2.3 - Risks and Issues</w:t>
      </w:r>
    </w:p>
    <w:p w:rsidR="00000000" w:rsidDel="00000000" w:rsidP="00000000" w:rsidRDefault="00000000" w:rsidRPr="00000000" w14:paraId="00000002">
      <w:pPr>
        <w:spacing w:line="276.0005454545455" w:lineRule="auto"/>
        <w:rPr>
          <w:rFonts w:ascii="PMingLiu" w:cs="PMingLiu" w:eastAsia="PMingLiu" w:hAnsi="PMingLiu"/>
        </w:rPr>
      </w:pPr>
      <w:r w:rsidDel="00000000" w:rsidR="00000000" w:rsidRPr="00000000">
        <w:rPr>
          <w:rFonts w:ascii="PMingLiu" w:cs="PMingLiu" w:eastAsia="PMingLiu" w:hAnsi="PMingLiu"/>
          <w:rtl w:val="0"/>
        </w:rPr>
        <w:t xml:space="preserve">In this section, 5 potential risks and issues are assigned into three categories based on their influence on our development process, including the </w:t>
      </w:r>
      <w:r w:rsidDel="00000000" w:rsidR="00000000" w:rsidRPr="00000000">
        <w:rPr>
          <w:sz w:val="20"/>
          <w:szCs w:val="20"/>
          <w:rtl w:val="0"/>
        </w:rPr>
        <w:t xml:space="preserve">technical</w:t>
      </w:r>
      <w:r w:rsidDel="00000000" w:rsidR="00000000" w:rsidRPr="00000000">
        <w:rPr>
          <w:rFonts w:ascii="PMingLiu" w:cs="PMingLiu" w:eastAsia="PMingLiu" w:hAnsi="PMingLiu"/>
          <w:rtl w:val="0"/>
        </w:rPr>
        <w:t xml:space="preserve"> risks, client risks, and security risks.</w:t>
      </w:r>
      <w:r w:rsidDel="00000000" w:rsidR="00000000" w:rsidRPr="00000000">
        <w:rPr>
          <w:rtl w:val="0"/>
        </w:rPr>
      </w:r>
    </w:p>
    <w:p w:rsidR="00000000" w:rsidDel="00000000" w:rsidP="00000000" w:rsidRDefault="00000000" w:rsidRPr="00000000" w14:paraId="00000003">
      <w:pPr>
        <w:spacing w:line="276.0005454545455" w:lineRule="auto"/>
        <w:rPr>
          <w:rFonts w:ascii="PMingLiu" w:cs="PMingLiu" w:eastAsia="PMingLiu" w:hAnsi="PMingLiu"/>
        </w:rPr>
      </w:pPr>
      <w:r w:rsidDel="00000000" w:rsidR="00000000" w:rsidRPr="00000000">
        <w:rPr>
          <w:rtl w:val="0"/>
        </w:rPr>
      </w:r>
    </w:p>
    <w:tbl>
      <w:tblPr>
        <w:tblStyle w:val="Table1"/>
        <w:tblW w:w="100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740"/>
        <w:tblGridChange w:id="0">
          <w:tblGrid>
            <w:gridCol w:w="2340"/>
            <w:gridCol w:w="774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Type &amp; Title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 Risks - Ineffective Time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time required to develop the website or finish documentation may be beyond initial time estimation. This may lead to failure in making deadlines or a subpar finished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Probable - High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Team members should always be aware of their individual allocated tasks as well as the others. Any issues or problems beyond the scope of what was initially discussed when assigning tasks should be communicated with the team to find solutions as soon as possible.</w:t>
            </w:r>
          </w:p>
        </w:tc>
      </w:tr>
    </w:tbl>
    <w:p w:rsidR="00000000" w:rsidDel="00000000" w:rsidP="00000000" w:rsidRDefault="00000000" w:rsidRPr="00000000" w14:paraId="0000000C">
      <w:pPr>
        <w:rPr/>
      </w:pPr>
      <w:r w:rsidDel="00000000" w:rsidR="00000000" w:rsidRPr="00000000">
        <w:rPr>
          <w:rtl w:val="0"/>
        </w:rPr>
      </w:r>
    </w:p>
    <w:tbl>
      <w:tblPr>
        <w:tblStyle w:val="Table2"/>
        <w:tblW w:w="100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755"/>
        <w:tblGridChange w:id="0">
          <w:tblGrid>
            <w:gridCol w:w="2325"/>
            <w:gridCol w:w="775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b w:val="1"/>
                <w:sz w:val="20"/>
                <w:szCs w:val="20"/>
                <w:rtl w:val="0"/>
              </w:rPr>
              <w:t xml:space="preserve">ID, Type &amp; Title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Client Risk - Accessibility and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Client has specifically tasked us to model the product over their previous academic tracker “Classroom Monitor”. Finished product may not be as the client envisioned and can lead to user dissatisfaction.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Unlikely - Very High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Ensure constant communication with the client over design issues, conduct a small sample testing with students to test whether the website is user-friendly and intuitive and make adjustments based on feedback.</w:t>
            </w:r>
          </w:p>
        </w:tc>
      </w:tr>
    </w:tbl>
    <w:p w:rsidR="00000000" w:rsidDel="00000000" w:rsidP="00000000" w:rsidRDefault="00000000" w:rsidRPr="00000000" w14:paraId="00000015">
      <w:pPr>
        <w:rPr/>
      </w:pPr>
      <w:r w:rsidDel="00000000" w:rsidR="00000000" w:rsidRPr="00000000">
        <w:rPr>
          <w:rtl w:val="0"/>
        </w:rPr>
      </w:r>
    </w:p>
    <w:tbl>
      <w:tblPr>
        <w:tblStyle w:val="Table3"/>
        <w:tblW w:w="100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755"/>
        <w:tblGridChange w:id="0">
          <w:tblGrid>
            <w:gridCol w:w="2325"/>
            <w:gridCol w:w="7755"/>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b w:val="1"/>
                <w:sz w:val="20"/>
                <w:szCs w:val="20"/>
                <w:rtl w:val="0"/>
              </w:rPr>
              <w:t xml:space="preserve">ID, Type &amp; Title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Technical Risk - Cross-Browser and Mobile Phone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Different web browsers may interpret HTML, CSS and Javascript Codes differently, leading to inconsistency and incompatibility with the website display and functionality. This also applies to mobile phones with different resolutions and screen sizes.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Unlikely - High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Use CSS frameworks or libraries that can handle cross-browser and cross device compatibility, follow web standards and good practices to ensure no problem occurs. Alternatively, we can conduct testing over multiple browsers to address and identify issues.</w:t>
            </w:r>
          </w:p>
        </w:tc>
      </w:tr>
    </w:tbl>
    <w:p w:rsidR="00000000" w:rsidDel="00000000" w:rsidP="00000000" w:rsidRDefault="00000000" w:rsidRPr="00000000" w14:paraId="0000001E">
      <w:pPr>
        <w:rPr/>
      </w:pPr>
      <w:r w:rsidDel="00000000" w:rsidR="00000000" w:rsidRPr="00000000">
        <w:rPr>
          <w:rtl w:val="0"/>
        </w:rPr>
      </w:r>
    </w:p>
    <w:tbl>
      <w:tblPr>
        <w:tblStyle w:val="Table4"/>
        <w:tblW w:w="100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770"/>
        <w:tblGridChange w:id="0">
          <w:tblGrid>
            <w:gridCol w:w="2310"/>
            <w:gridCol w:w="777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b w:val="1"/>
                <w:sz w:val="20"/>
                <w:szCs w:val="20"/>
                <w:rtl w:val="0"/>
              </w:rPr>
              <w:t xml:space="preserve">ID, Type &amp; Title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Technical Risk - Integration with Educational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Integrating with existing school academic systems and databases may pose challenges due to compatibility issues or data synchronisation.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Unlikely - Moderate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Communicate with Elemore Hall IT department and use standard protocols and APIs if available, if possible reformat database to suit current needs.</w:t>
            </w:r>
          </w:p>
        </w:tc>
      </w:tr>
    </w:tbl>
    <w:p w:rsidR="00000000" w:rsidDel="00000000" w:rsidP="00000000" w:rsidRDefault="00000000" w:rsidRPr="00000000" w14:paraId="00000027">
      <w:pPr>
        <w:rPr/>
      </w:pPr>
      <w:r w:rsidDel="00000000" w:rsidR="00000000" w:rsidRPr="00000000">
        <w:rPr>
          <w:rtl w:val="0"/>
        </w:rPr>
      </w:r>
    </w:p>
    <w:tbl>
      <w:tblPr>
        <w:tblStyle w:val="Table5"/>
        <w:tblW w:w="100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770"/>
        <w:tblGridChange w:id="0">
          <w:tblGrid>
            <w:gridCol w:w="2310"/>
            <w:gridCol w:w="7770"/>
          </w:tblGrid>
        </w:tblGridChange>
      </w:tblGrid>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b w:val="1"/>
                <w:sz w:val="20"/>
                <w:szCs w:val="20"/>
                <w:rtl w:val="0"/>
              </w:rPr>
              <w:t xml:space="preserve">ID, Type &amp; Title</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Security Risk - Data Breaches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Risk of unauthorised access to database, student information and administrative information can lead to theft of information or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Probability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Rare - High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Mitigation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Implement strong authentication measures (e.g MFA Microsoft Authenticator), authentication protocols, require strong password complexity requirements and regular password updates.</w:t>
            </w:r>
          </w:p>
        </w:tc>
      </w:tr>
    </w:tbl>
    <w:p w:rsidR="00000000" w:rsidDel="00000000" w:rsidP="00000000" w:rsidRDefault="00000000" w:rsidRPr="00000000" w14:paraId="00000030">
      <w:pPr>
        <w:spacing w:line="276"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