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700AF" w14:textId="77777777" w:rsidR="00EE7CFD" w:rsidRPr="00560757" w:rsidRDefault="00EE7CFD" w:rsidP="00EE7CFD">
      <w:pPr>
        <w:rPr>
          <w:lang w:val="en-US"/>
        </w:rPr>
      </w:pPr>
      <w:r w:rsidRPr="00EE7CFD">
        <w:rPr>
          <w:lang w:val="en-US"/>
        </w:rPr>
        <w:t>“</w:t>
      </w:r>
      <w:proofErr w:type="gramStart"/>
      <w:r w:rsidRPr="00EE7CFD">
        <w:rPr>
          <w:lang w:val="en-US"/>
        </w:rPr>
        <w:t>Portugal .</w:t>
      </w:r>
      <w:proofErr w:type="gramEnd"/>
      <w:r w:rsidRPr="00EE7CFD">
        <w:rPr>
          <w:lang w:val="en-US"/>
        </w:rPr>
        <w:t xml:space="preserve">” Edited by Max Roser, </w:t>
      </w:r>
      <w:r w:rsidRPr="00EE7CFD">
        <w:rPr>
          <w:i/>
          <w:iCs/>
          <w:lang w:val="en-US"/>
        </w:rPr>
        <w:t>World Bank Open Data</w:t>
      </w:r>
      <w:r w:rsidRPr="00EE7CFD">
        <w:rPr>
          <w:lang w:val="en-US"/>
        </w:rPr>
        <w:t xml:space="preserve">, University of Oxford, data.worldbank.org/country/portugal. Accessed 11 Nov. 2024. </w:t>
      </w:r>
    </w:p>
    <w:p w14:paraId="113CF150" w14:textId="77777777" w:rsidR="006A43B7" w:rsidRPr="00560757" w:rsidRDefault="006A43B7">
      <w:pPr>
        <w:rPr>
          <w:lang w:val="en-US"/>
        </w:rPr>
      </w:pPr>
    </w:p>
    <w:p w14:paraId="12B718AA" w14:textId="77777777" w:rsidR="00EE7CFD" w:rsidRPr="00EE7CFD" w:rsidRDefault="00EE7CFD" w:rsidP="00EE7CFD">
      <w:pPr>
        <w:rPr>
          <w:lang w:val="en-US"/>
        </w:rPr>
      </w:pPr>
      <w:r w:rsidRPr="00EE7CFD">
        <w:rPr>
          <w:lang w:val="en-US"/>
        </w:rPr>
        <w:t xml:space="preserve">“Key Industries.” </w:t>
      </w:r>
      <w:r w:rsidRPr="00EE7CFD">
        <w:rPr>
          <w:i/>
          <w:iCs/>
          <w:lang w:val="en-US"/>
        </w:rPr>
        <w:t>AICEP</w:t>
      </w:r>
      <w:r w:rsidRPr="00EE7CFD">
        <w:rPr>
          <w:lang w:val="en-US"/>
        </w:rPr>
        <w:t xml:space="preserve">, Republica Portuguesa, www.portugalglobal.pt/en/investment/key-industries/. Accessed 11 Nov. 2024. </w:t>
      </w:r>
    </w:p>
    <w:p w14:paraId="7BD5DEF7" w14:textId="77777777" w:rsidR="00EE7CFD" w:rsidRDefault="00EE7CFD"/>
    <w:p w14:paraId="255EBF47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Multiple sources compiled by World Bank (2024) – processed by Our World in Data. “Consumer price index” [dataset]. International Monetary Fund (via World Bank), “World Development Indicators” [original data]. Retrieved November 11, </w:t>
      </w:r>
      <w:proofErr w:type="gramStart"/>
      <w:r w:rsidRPr="00C93153">
        <w:rPr>
          <w:lang w:val="en-US"/>
        </w:rPr>
        <w:t>2024</w:t>
      </w:r>
      <w:proofErr w:type="gramEnd"/>
      <w:r w:rsidRPr="00C93153">
        <w:rPr>
          <w:lang w:val="en-US"/>
        </w:rPr>
        <w:t xml:space="preserve"> from </w:t>
      </w:r>
      <w:hyperlink r:id="rId4" w:history="1">
        <w:r w:rsidRPr="00C93153">
          <w:rPr>
            <w:rStyle w:val="Collegamentoipertestuale"/>
            <w:lang w:val="en-US"/>
          </w:rPr>
          <w:t>https://ourworldindata.org/grapher/consumer-price-index</w:t>
        </w:r>
      </w:hyperlink>
    </w:p>
    <w:p w14:paraId="3E4EE12A" w14:textId="77777777" w:rsidR="00C93153" w:rsidRPr="00560757" w:rsidRDefault="00C93153">
      <w:pPr>
        <w:rPr>
          <w:lang w:val="en-US"/>
        </w:rPr>
      </w:pPr>
    </w:p>
    <w:p w14:paraId="45C3AF03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HYDE (2023); Gapminder (2022); UN WPP (2024) – with major processing by Our World in Data. “Population” [dataset]. PBL Netherlands Environmental Assessment Agency, “History Database of the Global Environment 3.3”; Gapminder, “Population v7”; United Nations, “World Population Prospects”; Gapminder, “Systema Globalis” [original data]. Retrieved November 11, </w:t>
      </w:r>
      <w:proofErr w:type="gramStart"/>
      <w:r w:rsidRPr="00C93153">
        <w:rPr>
          <w:lang w:val="en-US"/>
        </w:rPr>
        <w:t>2024</w:t>
      </w:r>
      <w:proofErr w:type="gramEnd"/>
      <w:r w:rsidRPr="00C93153">
        <w:rPr>
          <w:lang w:val="en-US"/>
        </w:rPr>
        <w:t xml:space="preserve"> from </w:t>
      </w:r>
      <w:hyperlink r:id="rId5" w:history="1">
        <w:r w:rsidRPr="00C93153">
          <w:rPr>
            <w:rStyle w:val="Collegamentoipertestuale"/>
            <w:lang w:val="en-US"/>
          </w:rPr>
          <w:t>https://ourworldindata.org/grapher/population</w:t>
        </w:r>
      </w:hyperlink>
    </w:p>
    <w:p w14:paraId="759A93AE" w14:textId="77777777" w:rsidR="00C93153" w:rsidRPr="00560757" w:rsidRDefault="00C93153">
      <w:pPr>
        <w:rPr>
          <w:lang w:val="en-US"/>
        </w:rPr>
      </w:pPr>
    </w:p>
    <w:p w14:paraId="3778F389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Food and Agriculture Organization of the United Nations (2023); Harris et al. (2015); Floud et al. (2011); Jonsson (1998); Grigg (1995); Fogel (2004); Food and Agriculture Organization of the United Nations (2000); Food and Agriculture Organization of the United Nations (1949); USDA Economic Research Service (ERS) (2015) – with major processing by Our World in Data. “Daily supply of calories per person” [dataset]. Food and Agriculture Organization of the United Nations, “Food Balances: Food Balances (-2013, old methodology and population)”; Food and Agriculture Organization of the United Nations, “Food Balances: Food Balances (2010-)”; Harris et al., “How Many Calories? Food Availability in England and Wales in the Eighteenth and Nineteenth Centuries”; Floud et al., “The Changing Body”; Jonsson, “Changes in food consumption in Iceland, 1770-1940”; Grigg, “The nutritional transition in Western Europe”; Fogel, “The Escape from Hunger and Premature Death”; Food and Agriculture Organization of the United Nations, “The State of Food and Agriculture 2000”; Food and Agriculture Organization of the United Nations, “The State of Food and Agriculture 1949”; USDA Economic Research Service (ERS), “U.S. food supply:  Nutrients and other food components, per capita per day” [original data]. Retrieved November 11, </w:t>
      </w:r>
      <w:proofErr w:type="gramStart"/>
      <w:r w:rsidRPr="00C93153">
        <w:rPr>
          <w:lang w:val="en-US"/>
        </w:rPr>
        <w:t>2024</w:t>
      </w:r>
      <w:proofErr w:type="gramEnd"/>
      <w:r w:rsidRPr="00C93153">
        <w:rPr>
          <w:lang w:val="en-US"/>
        </w:rPr>
        <w:t xml:space="preserve"> from </w:t>
      </w:r>
      <w:hyperlink r:id="rId6" w:history="1">
        <w:r w:rsidRPr="00C93153">
          <w:rPr>
            <w:rStyle w:val="Collegamentoipertestuale"/>
            <w:lang w:val="en-US"/>
          </w:rPr>
          <w:t>https://ourworldindata.org/grapher/daily-per-capita-caloric-supply</w:t>
        </w:r>
      </w:hyperlink>
    </w:p>
    <w:p w14:paraId="5567BE41" w14:textId="77777777" w:rsidR="00C93153" w:rsidRDefault="00C93153">
      <w:pPr>
        <w:rPr>
          <w:lang w:val="en-US"/>
        </w:rPr>
      </w:pPr>
    </w:p>
    <w:p w14:paraId="2D786A00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World Health Organization - Global Health Observatory (2024) – processed by Our World in Data. “Share of adults who are overweight or obese” [dataset]. World Health Organization, “Global Health Observatory” [original data]. Retrieved November 11, </w:t>
      </w:r>
      <w:proofErr w:type="gramStart"/>
      <w:r w:rsidRPr="00C93153">
        <w:rPr>
          <w:lang w:val="en-US"/>
        </w:rPr>
        <w:t>2024</w:t>
      </w:r>
      <w:proofErr w:type="gramEnd"/>
      <w:r w:rsidRPr="00C93153">
        <w:rPr>
          <w:lang w:val="en-US"/>
        </w:rPr>
        <w:t xml:space="preserve"> from </w:t>
      </w:r>
      <w:hyperlink r:id="rId7" w:history="1">
        <w:r w:rsidRPr="00C93153">
          <w:rPr>
            <w:rStyle w:val="Collegamentoipertestuale"/>
            <w:lang w:val="en-US"/>
          </w:rPr>
          <w:t>https://ourworldindata.org/grapher/share-of-adults-who-are-overweight</w:t>
        </w:r>
      </w:hyperlink>
    </w:p>
    <w:p w14:paraId="06737940" w14:textId="77777777" w:rsidR="00C93153" w:rsidRDefault="00C93153">
      <w:pPr>
        <w:rPr>
          <w:lang w:val="en-US"/>
        </w:rPr>
      </w:pPr>
    </w:p>
    <w:p w14:paraId="71DEBB35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World Bank (2023) – with minor processing by Our World in Data. “GDP per capita – World Bank – In constant 2017 international $” [dataset]. World Bank, “World Bank World Development Indicators” [original data]. Retrieved November 11, </w:t>
      </w:r>
      <w:proofErr w:type="gramStart"/>
      <w:r w:rsidRPr="00C93153">
        <w:rPr>
          <w:lang w:val="en-US"/>
        </w:rPr>
        <w:t>2024</w:t>
      </w:r>
      <w:proofErr w:type="gramEnd"/>
      <w:r w:rsidRPr="00C93153">
        <w:rPr>
          <w:lang w:val="en-US"/>
        </w:rPr>
        <w:t xml:space="preserve"> from </w:t>
      </w:r>
      <w:hyperlink r:id="rId8" w:history="1">
        <w:r w:rsidRPr="00C93153">
          <w:rPr>
            <w:rStyle w:val="Collegamentoipertestuale"/>
            <w:lang w:val="en-US"/>
          </w:rPr>
          <w:t>https://ourworldindata.org/grapher/gdp-per-capita-worldbank</w:t>
        </w:r>
      </w:hyperlink>
    </w:p>
    <w:p w14:paraId="7B0D924E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lastRenderedPageBreak/>
        <w:t xml:space="preserve">UNDP, Human Development Report (2024) – with minor processing by Our World in Data. “Human Development Index” [dataset]. UNDP, Human Development Report, “Human Development Report 2023-2024” [original data]. Retrieved November 11, </w:t>
      </w:r>
      <w:proofErr w:type="gramStart"/>
      <w:r w:rsidRPr="00C93153">
        <w:rPr>
          <w:lang w:val="en-US"/>
        </w:rPr>
        <w:t>2024</w:t>
      </w:r>
      <w:proofErr w:type="gramEnd"/>
      <w:r w:rsidRPr="00C93153">
        <w:rPr>
          <w:lang w:val="en-US"/>
        </w:rPr>
        <w:t xml:space="preserve"> from </w:t>
      </w:r>
      <w:hyperlink r:id="rId9" w:history="1">
        <w:r w:rsidRPr="00C93153">
          <w:rPr>
            <w:rStyle w:val="Collegamentoipertestuale"/>
            <w:lang w:val="en-US"/>
          </w:rPr>
          <w:t>https://ourworldindata.org/grapher/human-development-index</w:t>
        </w:r>
      </w:hyperlink>
    </w:p>
    <w:p w14:paraId="421EC15D" w14:textId="77777777" w:rsidR="00C93153" w:rsidRDefault="00C93153">
      <w:pPr>
        <w:rPr>
          <w:lang w:val="en-US"/>
        </w:rPr>
      </w:pPr>
    </w:p>
    <w:p w14:paraId="5BADC194" w14:textId="77777777" w:rsidR="00E11377" w:rsidRPr="00560757" w:rsidRDefault="00E11377" w:rsidP="00E11377">
      <w:r w:rsidRPr="00560757">
        <w:rPr>
          <w:lang w:val="en-US"/>
        </w:rPr>
        <w:t xml:space="preserve">CSE, et al. </w:t>
      </w:r>
      <w:r w:rsidRPr="00E11377">
        <w:t xml:space="preserve">“Statistics Portugal.” </w:t>
      </w:r>
      <w:r w:rsidRPr="00E11377">
        <w:rPr>
          <w:i/>
          <w:iCs/>
        </w:rPr>
        <w:t>Statistics Portugal - Web Portal</w:t>
      </w:r>
      <w:r w:rsidRPr="00E11377">
        <w:t xml:space="preserve">, Sistema Estatistico Nacional; Sistema Estatistico Europeu, www.ine.pt/xportal/xmain?xpid=INE&amp;xpgid=ine_inst_missao. </w:t>
      </w:r>
      <w:r w:rsidRPr="00560757">
        <w:t xml:space="preserve">Accessed 11 Nov. 2024. </w:t>
      </w:r>
    </w:p>
    <w:p w14:paraId="3E2CB061" w14:textId="77777777" w:rsidR="00C93153" w:rsidRPr="00560757" w:rsidRDefault="00C93153"/>
    <w:p w14:paraId="0F0FE6A1" w14:textId="77777777" w:rsidR="00E11377" w:rsidRPr="00E11377" w:rsidRDefault="00E11377" w:rsidP="00E11377">
      <w:pPr>
        <w:rPr>
          <w:lang w:val="en-US"/>
        </w:rPr>
      </w:pPr>
      <w:r w:rsidRPr="00E11377">
        <w:t xml:space="preserve">“The Statistics Portal.” </w:t>
      </w:r>
      <w:r w:rsidRPr="00E11377">
        <w:rPr>
          <w:i/>
          <w:iCs/>
        </w:rPr>
        <w:t>Statista</w:t>
      </w:r>
      <w:r w:rsidRPr="00E11377">
        <w:t xml:space="preserve">, Università di Trento, www.statista.com/markets/. </w:t>
      </w:r>
      <w:r w:rsidRPr="00E11377">
        <w:rPr>
          <w:lang w:val="en-US"/>
        </w:rPr>
        <w:t xml:space="preserve">Accessed 11 Nov. 2024. </w:t>
      </w:r>
    </w:p>
    <w:p w14:paraId="5A7AABAC" w14:textId="77777777" w:rsidR="00E11377" w:rsidRDefault="00E11377">
      <w:pPr>
        <w:rPr>
          <w:lang w:val="en-US"/>
        </w:rPr>
      </w:pPr>
    </w:p>
    <w:p w14:paraId="3F3246B1" w14:textId="77777777" w:rsidR="0003483A" w:rsidRPr="0003483A" w:rsidRDefault="0003483A" w:rsidP="0003483A">
      <w:pPr>
        <w:rPr>
          <w:lang w:val="en-US"/>
        </w:rPr>
      </w:pPr>
      <w:r w:rsidRPr="00560757">
        <w:rPr>
          <w:i/>
          <w:iCs/>
          <w:lang w:val="en-US"/>
        </w:rPr>
        <w:t>Vieira de Castro</w:t>
      </w:r>
      <w:r w:rsidRPr="00560757">
        <w:rPr>
          <w:lang w:val="en-US"/>
        </w:rPr>
        <w:t xml:space="preserve">, vieiradecastro.pt/en. </w:t>
      </w:r>
      <w:r w:rsidRPr="0003483A">
        <w:rPr>
          <w:lang w:val="en-US"/>
        </w:rPr>
        <w:t xml:space="preserve">Accessed 11 Nov. 2024. </w:t>
      </w:r>
    </w:p>
    <w:p w14:paraId="2EFFA422" w14:textId="77777777" w:rsidR="0003483A" w:rsidRDefault="0003483A">
      <w:pPr>
        <w:rPr>
          <w:lang w:val="en-US"/>
        </w:rPr>
      </w:pPr>
    </w:p>
    <w:p w14:paraId="39880A52" w14:textId="7B5F89A4" w:rsidR="008C05EA" w:rsidRDefault="0003483A">
      <w:pPr>
        <w:rPr>
          <w:lang w:val="en-US"/>
        </w:rPr>
      </w:pPr>
      <w:r w:rsidRPr="0003483A">
        <w:rPr>
          <w:lang w:val="en-US"/>
        </w:rPr>
        <w:t xml:space="preserve">ELITE Group. “Elite - Società, Investitori, Partner, Basket Bond, SPAC in Cloud.” </w:t>
      </w:r>
      <w:r w:rsidRPr="0003483A">
        <w:rPr>
          <w:i/>
          <w:iCs/>
          <w:lang w:val="en-US"/>
        </w:rPr>
        <w:t>ELITE Group</w:t>
      </w:r>
      <w:r w:rsidRPr="0003483A">
        <w:rPr>
          <w:lang w:val="en-US"/>
        </w:rPr>
        <w:t xml:space="preserve">, https://www.elite-network.com/partners/our-partners, www.elite-network.com/private-companies/community/vieira-de-castro-produtos-alimentares-s-a?r. Accessed 11 Nov. 2024. </w:t>
      </w:r>
    </w:p>
    <w:p w14:paraId="286626DB" w14:textId="77777777" w:rsidR="008C05EA" w:rsidRDefault="008C05EA">
      <w:pPr>
        <w:rPr>
          <w:lang w:val="en-US"/>
        </w:rPr>
      </w:pPr>
    </w:p>
    <w:p w14:paraId="1E967426" w14:textId="77777777" w:rsidR="008C05EA" w:rsidRPr="008C05EA" w:rsidRDefault="008C05EA" w:rsidP="008C05EA">
      <w:pPr>
        <w:rPr>
          <w:lang w:val="en-US"/>
        </w:rPr>
      </w:pPr>
      <w:r w:rsidRPr="008C05EA">
        <w:rPr>
          <w:i/>
          <w:iCs/>
          <w:lang w:val="en-US"/>
        </w:rPr>
        <w:t>Shibboleth Authentication Request</w:t>
      </w:r>
      <w:r w:rsidRPr="008C05EA">
        <w:rPr>
          <w:lang w:val="en-US"/>
        </w:rPr>
        <w:t xml:space="preserve">, www-portal-euromonitor-com.ezp.biblio.unitn.it/magazine/homemain. Accessed 11 Nov. 2024. </w:t>
      </w:r>
    </w:p>
    <w:p w14:paraId="3CE44069" w14:textId="77777777" w:rsidR="008C05EA" w:rsidRDefault="008C05EA">
      <w:pPr>
        <w:rPr>
          <w:lang w:val="en-US"/>
        </w:rPr>
      </w:pPr>
    </w:p>
    <w:p w14:paraId="417C6D25" w14:textId="77777777" w:rsidR="008C05EA" w:rsidRPr="008C05EA" w:rsidRDefault="008C05EA" w:rsidP="008C05EA">
      <w:pPr>
        <w:rPr>
          <w:lang w:val="en-US"/>
        </w:rPr>
      </w:pPr>
      <w:r w:rsidRPr="008C05EA">
        <w:rPr>
          <w:lang w:val="en-US"/>
        </w:rPr>
        <w:t xml:space="preserve">“Snack Food - Portugal: Statista Market Forecast.” </w:t>
      </w:r>
      <w:r w:rsidRPr="00560757">
        <w:rPr>
          <w:i/>
          <w:iCs/>
          <w:lang w:val="en-US"/>
        </w:rPr>
        <w:t>Statista</w:t>
      </w:r>
      <w:r w:rsidRPr="00560757">
        <w:rPr>
          <w:lang w:val="en-US"/>
        </w:rPr>
        <w:t xml:space="preserve">, www.statista.com/outlook/cmo/food/confectionery-snacks/snack-food/portugal#demographics. </w:t>
      </w:r>
      <w:r w:rsidRPr="008C05EA">
        <w:rPr>
          <w:lang w:val="en-US"/>
        </w:rPr>
        <w:t xml:space="preserve">Accessed 11 Nov. 2024. </w:t>
      </w:r>
    </w:p>
    <w:p w14:paraId="002A984B" w14:textId="77777777" w:rsidR="008C05EA" w:rsidRDefault="008C05EA">
      <w:pPr>
        <w:rPr>
          <w:lang w:val="en-US"/>
        </w:rPr>
      </w:pPr>
    </w:p>
    <w:p w14:paraId="71F7E269" w14:textId="77777777" w:rsidR="008C05EA" w:rsidRPr="008C05EA" w:rsidRDefault="008C05EA" w:rsidP="008C05EA">
      <w:pPr>
        <w:rPr>
          <w:lang w:val="en-US"/>
        </w:rPr>
      </w:pPr>
      <w:r w:rsidRPr="008C05EA">
        <w:rPr>
          <w:lang w:val="en-US"/>
        </w:rPr>
        <w:t xml:space="preserve">“Snack Food - Portugal: Statista Market Forecast.” </w:t>
      </w:r>
      <w:r w:rsidRPr="00560757">
        <w:rPr>
          <w:i/>
          <w:iCs/>
          <w:lang w:val="en-US"/>
        </w:rPr>
        <w:t>Statista</w:t>
      </w:r>
      <w:r w:rsidRPr="00560757">
        <w:rPr>
          <w:lang w:val="en-US"/>
        </w:rPr>
        <w:t xml:space="preserve">, www.statista.com/outlook/cmo/food/confectionery-snacks/snack-food/portugal?currency=EUR#revenue. </w:t>
      </w:r>
      <w:r w:rsidRPr="008C05EA">
        <w:rPr>
          <w:lang w:val="en-US"/>
        </w:rPr>
        <w:t xml:space="preserve">Accessed 11 Nov. 2024. </w:t>
      </w:r>
    </w:p>
    <w:p w14:paraId="1B626615" w14:textId="77777777" w:rsidR="008C05EA" w:rsidRDefault="008C05EA">
      <w:pPr>
        <w:rPr>
          <w:lang w:val="en-US"/>
        </w:rPr>
      </w:pPr>
    </w:p>
    <w:p w14:paraId="43AEF679" w14:textId="77777777" w:rsidR="008C05EA" w:rsidRPr="008C05EA" w:rsidRDefault="008C05EA" w:rsidP="008C05EA">
      <w:pPr>
        <w:rPr>
          <w:lang w:val="en-US"/>
        </w:rPr>
      </w:pPr>
      <w:r w:rsidRPr="008C05EA">
        <w:rPr>
          <w:i/>
          <w:iCs/>
          <w:lang w:val="en-US"/>
        </w:rPr>
        <w:t>Shibboleth Authentication Request</w:t>
      </w:r>
      <w:r w:rsidRPr="008C05EA">
        <w:rPr>
          <w:lang w:val="en-US"/>
        </w:rPr>
        <w:t xml:space="preserve">, www-portal-euromonitor-com.ezp.biblio.unitn.it/StatisticsEvolution/index. Accessed 11 Nov. 2024. </w:t>
      </w:r>
    </w:p>
    <w:p w14:paraId="2035BA15" w14:textId="77777777" w:rsidR="008C05EA" w:rsidRDefault="008C05EA">
      <w:pPr>
        <w:rPr>
          <w:lang w:val="en-US"/>
        </w:rPr>
      </w:pPr>
    </w:p>
    <w:p w14:paraId="7E35C59D" w14:textId="77777777" w:rsidR="008C05EA" w:rsidRPr="008C05EA" w:rsidRDefault="008C05EA" w:rsidP="008C05EA">
      <w:pPr>
        <w:rPr>
          <w:lang w:val="en-US"/>
        </w:rPr>
      </w:pPr>
      <w:r w:rsidRPr="008C05EA">
        <w:rPr>
          <w:lang w:val="en-US"/>
        </w:rPr>
        <w:t xml:space="preserve">“Snack Food - Portugal: Statista Market Forecast.” </w:t>
      </w:r>
      <w:r w:rsidRPr="00560757">
        <w:rPr>
          <w:i/>
          <w:iCs/>
          <w:lang w:val="en-US"/>
        </w:rPr>
        <w:t>Statista</w:t>
      </w:r>
      <w:r w:rsidRPr="00560757">
        <w:rPr>
          <w:lang w:val="en-US"/>
        </w:rPr>
        <w:t xml:space="preserve">, www.statista.com/outlook/cmo/food/confectionery-snacks/snack-food/portugal?currency=EUR#revenue. </w:t>
      </w:r>
      <w:r w:rsidRPr="008C05EA">
        <w:rPr>
          <w:lang w:val="en-US"/>
        </w:rPr>
        <w:t xml:space="preserve">Accessed 11 Nov. 2024. </w:t>
      </w:r>
    </w:p>
    <w:p w14:paraId="7D7EEF8F" w14:textId="77777777" w:rsidR="008C05EA" w:rsidRDefault="008C05EA">
      <w:pPr>
        <w:rPr>
          <w:lang w:val="en-US"/>
        </w:rPr>
      </w:pPr>
    </w:p>
    <w:p w14:paraId="6D397B11" w14:textId="77777777" w:rsidR="005272DA" w:rsidRPr="005272DA" w:rsidRDefault="005272DA" w:rsidP="005272DA">
      <w:pPr>
        <w:rPr>
          <w:lang w:val="en-US"/>
        </w:rPr>
      </w:pPr>
      <w:r w:rsidRPr="005272DA">
        <w:rPr>
          <w:lang w:val="en-US"/>
        </w:rPr>
        <w:lastRenderedPageBreak/>
        <w:t xml:space="preserve">“Income for Being ‘Middle Class’ in Portugal Set at €688 per Month.” </w:t>
      </w:r>
      <w:r w:rsidRPr="005272DA">
        <w:rPr>
          <w:i/>
          <w:iCs/>
          <w:lang w:val="en-US"/>
        </w:rPr>
        <w:t>The Portugal News</w:t>
      </w:r>
      <w:r w:rsidRPr="005272DA">
        <w:rPr>
          <w:lang w:val="en-US"/>
        </w:rPr>
        <w:t xml:space="preserve">, 21 Jan. 2024, www.theportugalnews.com/news/2024-01-21/income-for-being-middle-class-in-portugal-set-at-688-per-month/85282. </w:t>
      </w:r>
    </w:p>
    <w:p w14:paraId="0ECDCC04" w14:textId="77777777" w:rsidR="008C05EA" w:rsidRDefault="008C05EA">
      <w:pPr>
        <w:rPr>
          <w:lang w:val="en-US"/>
        </w:rPr>
      </w:pPr>
    </w:p>
    <w:p w14:paraId="1613544E" w14:textId="77777777" w:rsidR="005272DA" w:rsidRPr="005272DA" w:rsidRDefault="005272DA" w:rsidP="005272DA">
      <w:pPr>
        <w:rPr>
          <w:lang w:val="en-US"/>
        </w:rPr>
      </w:pPr>
      <w:r w:rsidRPr="005272DA">
        <w:rPr>
          <w:lang w:val="en-US"/>
        </w:rPr>
        <w:t xml:space="preserve">“Confectionery - Portugal: Statista Market Forecast.” </w:t>
      </w:r>
      <w:r w:rsidRPr="005272DA">
        <w:rPr>
          <w:i/>
          <w:iCs/>
        </w:rPr>
        <w:t>Statista</w:t>
      </w:r>
      <w:r w:rsidRPr="005272DA">
        <w:t xml:space="preserve">, www.statista.com/outlook/cmo/food/confectionery-snacks/confectionery/portugal?currency=EUR#demographics. </w:t>
      </w:r>
      <w:r w:rsidRPr="005272DA">
        <w:rPr>
          <w:lang w:val="en-US"/>
        </w:rPr>
        <w:t xml:space="preserve">Accessed 11 Nov. 2024. </w:t>
      </w:r>
    </w:p>
    <w:p w14:paraId="2356DF9A" w14:textId="77777777" w:rsidR="005272DA" w:rsidRDefault="005272DA">
      <w:pPr>
        <w:rPr>
          <w:lang w:val="en-US"/>
        </w:rPr>
      </w:pPr>
    </w:p>
    <w:p w14:paraId="6EADC4DB" w14:textId="77777777" w:rsidR="00560757" w:rsidRPr="00560757" w:rsidRDefault="00560757" w:rsidP="00560757">
      <w:r w:rsidRPr="00560757">
        <w:rPr>
          <w:lang w:val="en-US"/>
        </w:rPr>
        <w:t xml:space="preserve">O’Neill, Aaron. “Portugal - Gross Domestic Product (GDP) Growth Rate 2029.” </w:t>
      </w:r>
      <w:r w:rsidRPr="00560757">
        <w:rPr>
          <w:i/>
          <w:iCs/>
        </w:rPr>
        <w:t>Statista</w:t>
      </w:r>
      <w:r w:rsidRPr="00560757">
        <w:t xml:space="preserve">, 24 Oct. 2024, www.statista.com/statistics/372306/gross-domestic-product-gdp-growth-rate-in-portugal/. </w:t>
      </w:r>
    </w:p>
    <w:p w14:paraId="0C57DA0F" w14:textId="77777777" w:rsidR="005272DA" w:rsidRDefault="005272DA"/>
    <w:p w14:paraId="20BA8EA7" w14:textId="77777777" w:rsidR="00186E4C" w:rsidRPr="00186E4C" w:rsidRDefault="00186E4C" w:rsidP="00186E4C">
      <w:pPr>
        <w:rPr>
          <w:lang w:val="en-US"/>
        </w:rPr>
      </w:pPr>
      <w:proofErr w:type="gramStart"/>
      <w:r w:rsidRPr="00186E4C">
        <w:t>“{ Indicator.Label</w:t>
      </w:r>
      <w:proofErr w:type="gramEnd"/>
      <w:r w:rsidRPr="00186E4C">
        <w:t xml:space="preserve"> }.” </w:t>
      </w:r>
      <w:r w:rsidRPr="00186E4C">
        <w:rPr>
          <w:i/>
          <w:iCs/>
        </w:rPr>
        <w:t>IMF</w:t>
      </w:r>
      <w:r w:rsidRPr="00186E4C">
        <w:t xml:space="preserve">, www.imf.org/external/datamapper/NGDP_RPCH@WEO/PRT?zoom=PRT&amp;highlight=PRT. </w:t>
      </w:r>
      <w:r w:rsidRPr="00186E4C">
        <w:rPr>
          <w:lang w:val="en-US"/>
        </w:rPr>
        <w:t xml:space="preserve">Accessed 12 Nov. 2024. </w:t>
      </w:r>
    </w:p>
    <w:p w14:paraId="46A7DBA4" w14:textId="77777777" w:rsidR="00D37A2C" w:rsidRDefault="00D37A2C"/>
    <w:p w14:paraId="3AE78558" w14:textId="77777777" w:rsidR="00056EE7" w:rsidRPr="00056EE7" w:rsidRDefault="00056EE7" w:rsidP="00056EE7">
      <w:r w:rsidRPr="00056EE7">
        <w:rPr>
          <w:lang w:val="en-US"/>
        </w:rPr>
        <w:t xml:space="preserve">O’Neill, Aaron. “Portugal - Gross Domestic Product (GDP) per Capita 2029.” </w:t>
      </w:r>
      <w:r w:rsidRPr="00056EE7">
        <w:rPr>
          <w:i/>
          <w:iCs/>
        </w:rPr>
        <w:t>Statista</w:t>
      </w:r>
      <w:r w:rsidRPr="00056EE7">
        <w:t xml:space="preserve">, 24 Oct. 2024, www.statista.com/statistics/372340/gross-domestic-product-gdp-per-capita-in-portugal/. </w:t>
      </w:r>
    </w:p>
    <w:p w14:paraId="6B457943" w14:textId="77777777" w:rsidR="00186E4C" w:rsidRDefault="00186E4C"/>
    <w:p w14:paraId="7E69A20E" w14:textId="77777777" w:rsidR="00A5136C" w:rsidRPr="00A5136C" w:rsidRDefault="00A5136C" w:rsidP="00A5136C">
      <w:r w:rsidRPr="00A5136C">
        <w:rPr>
          <w:lang w:val="en-US"/>
        </w:rPr>
        <w:t xml:space="preserve">O’Neill, Aaron. “Portugal - Gross Domestic Product (GDP) 2029.” </w:t>
      </w:r>
      <w:r w:rsidRPr="00A5136C">
        <w:rPr>
          <w:i/>
          <w:iCs/>
        </w:rPr>
        <w:t>Statista</w:t>
      </w:r>
      <w:r w:rsidRPr="00A5136C">
        <w:t xml:space="preserve">, 24 Oct. 2024, www.statista.com/statistics/372332/gross-domestic-product-gdp-in-portugal/. </w:t>
      </w:r>
    </w:p>
    <w:p w14:paraId="35670FA1" w14:textId="77777777" w:rsidR="00056EE7" w:rsidRDefault="00056EE7"/>
    <w:p w14:paraId="7B3AD996" w14:textId="77777777" w:rsidR="00EF483A" w:rsidRPr="00EF483A" w:rsidRDefault="00EF483A" w:rsidP="00EF483A">
      <w:r w:rsidRPr="00EF483A">
        <w:rPr>
          <w:lang w:val="en-US"/>
        </w:rPr>
        <w:t xml:space="preserve">O’Neill, Aaron. “Portugal - Inflation Rate 2029.” </w:t>
      </w:r>
      <w:r w:rsidRPr="00EF483A">
        <w:rPr>
          <w:i/>
          <w:iCs/>
        </w:rPr>
        <w:t>Statista</w:t>
      </w:r>
      <w:r w:rsidRPr="00EF483A">
        <w:t xml:space="preserve">, 24 Oct. 2024, www.statista.com/statistics/372347/inflation-rate-in-portugal/. </w:t>
      </w:r>
    </w:p>
    <w:p w14:paraId="59C2F22E" w14:textId="77777777" w:rsidR="00EF483A" w:rsidRDefault="00EF483A"/>
    <w:p w14:paraId="1A55D8D9" w14:textId="77777777" w:rsidR="009F6A6A" w:rsidRPr="009F6A6A" w:rsidRDefault="009F6A6A" w:rsidP="009F6A6A">
      <w:pPr>
        <w:rPr>
          <w:lang w:val="en-US"/>
        </w:rPr>
      </w:pPr>
      <w:r w:rsidRPr="009F6A6A">
        <w:rPr>
          <w:i/>
          <w:iCs/>
          <w:lang w:val="en-US"/>
        </w:rPr>
        <w:t>Language Selection</w:t>
      </w:r>
      <w:r w:rsidRPr="009F6A6A">
        <w:rPr>
          <w:lang w:val="en-US"/>
        </w:rPr>
        <w:t xml:space="preserve">, ec.europa.eu/eurostat/databrowser/view/tec00118/default/table?lang=en. Accessed 12 Nov. 2024. </w:t>
      </w:r>
    </w:p>
    <w:p w14:paraId="0CC3E1AD" w14:textId="77777777" w:rsidR="00EF483A" w:rsidRDefault="00EF483A"/>
    <w:p w14:paraId="14649D1F" w14:textId="77777777" w:rsidR="00CC35A6" w:rsidRPr="00CC35A6" w:rsidRDefault="00CC35A6" w:rsidP="00CC35A6">
      <w:r w:rsidRPr="00CC35A6">
        <w:rPr>
          <w:lang w:val="en-US"/>
        </w:rPr>
        <w:t xml:space="preserve">O’Neill, Aaron. “Portugal - Import of Goods 2023.” </w:t>
      </w:r>
      <w:r w:rsidRPr="00CC35A6">
        <w:rPr>
          <w:i/>
          <w:iCs/>
        </w:rPr>
        <w:t>Statista</w:t>
      </w:r>
      <w:r w:rsidRPr="00CC35A6">
        <w:t xml:space="preserve">, 27 Sept. 2024, www.statista.com/statistics/372311/import-of-goods-to-portugal/. </w:t>
      </w:r>
    </w:p>
    <w:p w14:paraId="15F7A1D1" w14:textId="77777777" w:rsidR="009F6A6A" w:rsidRDefault="009F6A6A"/>
    <w:p w14:paraId="2ECC3476" w14:textId="77777777" w:rsidR="00982D80" w:rsidRPr="00982D80" w:rsidRDefault="00982D80" w:rsidP="00982D80">
      <w:r w:rsidRPr="00982D80">
        <w:rPr>
          <w:lang w:val="en-US"/>
        </w:rPr>
        <w:t xml:space="preserve">O’Neill, Aaron. “Portugal - Most Important Import Partners 2022.” </w:t>
      </w:r>
      <w:r w:rsidRPr="00982D80">
        <w:rPr>
          <w:i/>
          <w:iCs/>
        </w:rPr>
        <w:t>Statista</w:t>
      </w:r>
      <w:r w:rsidRPr="00982D80">
        <w:t xml:space="preserve">, 30 Aug. 2024, www.statista.com/statistics/372197/most-important-import-partners-of-portugal/. </w:t>
      </w:r>
    </w:p>
    <w:p w14:paraId="2565B0DD" w14:textId="77777777" w:rsidR="00CC35A6" w:rsidRDefault="00CC35A6"/>
    <w:p w14:paraId="0651C599" w14:textId="77777777" w:rsidR="0072107F" w:rsidRPr="0072107F" w:rsidRDefault="0072107F" w:rsidP="0072107F">
      <w:r w:rsidRPr="0072107F">
        <w:rPr>
          <w:lang w:val="en-US"/>
        </w:rPr>
        <w:t xml:space="preserve">O’Neill, Aaron. “Portugal - Export of Goods 2023.” </w:t>
      </w:r>
      <w:r w:rsidRPr="0072107F">
        <w:rPr>
          <w:i/>
          <w:iCs/>
        </w:rPr>
        <w:t>Statista</w:t>
      </w:r>
      <w:r w:rsidRPr="0072107F">
        <w:t xml:space="preserve">, 27 Sept. 2024, www.statista.com/statistics/372317/export-of-goods-from-portugal/. </w:t>
      </w:r>
    </w:p>
    <w:p w14:paraId="1FAFEDE7" w14:textId="77777777" w:rsidR="00982D80" w:rsidRDefault="00982D80"/>
    <w:p w14:paraId="5F6EDEBA" w14:textId="77777777" w:rsidR="00D16A78" w:rsidRPr="00D16A78" w:rsidRDefault="00D16A78" w:rsidP="00D16A78">
      <w:r w:rsidRPr="00D16A78">
        <w:rPr>
          <w:lang w:val="en-US"/>
        </w:rPr>
        <w:lastRenderedPageBreak/>
        <w:t xml:space="preserve">O’Neill, Aaron. “Portugal - Most Important Export Partner Countries in 2022.” </w:t>
      </w:r>
      <w:r w:rsidRPr="00D16A78">
        <w:rPr>
          <w:i/>
          <w:iCs/>
        </w:rPr>
        <w:t>Statista</w:t>
      </w:r>
      <w:r w:rsidRPr="00D16A78">
        <w:t xml:space="preserve">, 30 Aug. 2024, www.statista.com/statistics/372205/most-important-export-partner-countries-for-portugal/. </w:t>
      </w:r>
    </w:p>
    <w:p w14:paraId="62127903" w14:textId="77777777" w:rsidR="0072107F" w:rsidRDefault="0072107F"/>
    <w:p w14:paraId="7D3E0B23" w14:textId="77777777" w:rsidR="00E10FDF" w:rsidRPr="00E10FDF" w:rsidRDefault="00E10FDF" w:rsidP="00E10FDF">
      <w:r w:rsidRPr="00E10FDF">
        <w:rPr>
          <w:lang w:val="en-US"/>
        </w:rPr>
        <w:t xml:space="preserve">O’Neill, Aaron. “Portugal - Trade Balance of Goods 2023.” </w:t>
      </w:r>
      <w:r w:rsidRPr="00E10FDF">
        <w:rPr>
          <w:i/>
          <w:iCs/>
        </w:rPr>
        <w:t>Statista</w:t>
      </w:r>
      <w:r w:rsidRPr="00E10FDF">
        <w:t xml:space="preserve">, 27 Sept. 2024, www.statista.com/statistics/372323/trade-balance-of-portugal/. </w:t>
      </w:r>
    </w:p>
    <w:p w14:paraId="4AD1F9D6" w14:textId="77777777" w:rsidR="00D16A78" w:rsidRDefault="00D16A78"/>
    <w:p w14:paraId="7EA16082" w14:textId="77777777" w:rsidR="00123EA8" w:rsidRPr="00123EA8" w:rsidRDefault="00123EA8" w:rsidP="00123EA8">
      <w:r w:rsidRPr="00123EA8">
        <w:rPr>
          <w:lang w:val="en-US"/>
        </w:rPr>
        <w:t xml:space="preserve">O’Neill, Aaron. “Portugal - Unemployment Rate 2023.” </w:t>
      </w:r>
      <w:r w:rsidRPr="00123EA8">
        <w:rPr>
          <w:i/>
          <w:iCs/>
        </w:rPr>
        <w:t>Statista</w:t>
      </w:r>
      <w:r w:rsidRPr="00123EA8">
        <w:t xml:space="preserve">, 4 Nov. 2024, www.statista.com/statistics/372325/unemployment-rate-in-portugal/. </w:t>
      </w:r>
    </w:p>
    <w:p w14:paraId="7A42B94A" w14:textId="77777777" w:rsidR="00E10FDF" w:rsidRDefault="00E10FDF"/>
    <w:p w14:paraId="114BC950" w14:textId="77777777" w:rsidR="00C014DA" w:rsidRPr="00C014DA" w:rsidRDefault="00C014DA" w:rsidP="00C014DA">
      <w:pPr>
        <w:rPr>
          <w:lang w:val="en-US"/>
        </w:rPr>
      </w:pPr>
      <w:r w:rsidRPr="00C014DA">
        <w:rPr>
          <w:i/>
          <w:iCs/>
          <w:lang w:val="en-US"/>
        </w:rPr>
        <w:t>Language Selection</w:t>
      </w:r>
      <w:r w:rsidRPr="00C014DA">
        <w:rPr>
          <w:lang w:val="en-US"/>
        </w:rPr>
        <w:t xml:space="preserve">, ec.europa.eu/eurostat/databrowser/view/tipsna40/default/table?lang=en. Accessed 12 Nov. 2024. </w:t>
      </w:r>
    </w:p>
    <w:p w14:paraId="3A3EBA0A" w14:textId="77777777" w:rsidR="00123EA8" w:rsidRDefault="00123EA8"/>
    <w:p w14:paraId="58515A44" w14:textId="77777777" w:rsidR="00797544" w:rsidRPr="00797544" w:rsidRDefault="00797544" w:rsidP="00797544">
      <w:pPr>
        <w:rPr>
          <w:lang w:val="en-US"/>
        </w:rPr>
      </w:pPr>
      <w:r w:rsidRPr="00797544">
        <w:rPr>
          <w:lang w:val="en-US"/>
        </w:rPr>
        <w:t xml:space="preserve">“More Sustainable Ingredients: Mondelēz International, </w:t>
      </w:r>
      <w:proofErr w:type="gramStart"/>
      <w:r w:rsidRPr="00797544">
        <w:rPr>
          <w:lang w:val="en-US"/>
        </w:rPr>
        <w:t>Inc..</w:t>
      </w:r>
      <w:proofErr w:type="gramEnd"/>
      <w:r w:rsidRPr="00797544">
        <w:rPr>
          <w:lang w:val="en-US"/>
        </w:rPr>
        <w:t xml:space="preserve">” </w:t>
      </w:r>
      <w:r w:rsidRPr="00797544">
        <w:rPr>
          <w:i/>
          <w:iCs/>
          <w:lang w:val="en-US"/>
        </w:rPr>
        <w:t>More Sustainable Ingredients | Mondelēz International, Inc.</w:t>
      </w:r>
      <w:r w:rsidRPr="00797544">
        <w:rPr>
          <w:lang w:val="en-US"/>
        </w:rPr>
        <w:t xml:space="preserve">, www.mondelezinternational.com/snacking-made-right/sustainable-ingredients/. Accessed 12 Nov. 2024. </w:t>
      </w:r>
    </w:p>
    <w:p w14:paraId="733AE0C0" w14:textId="77777777" w:rsidR="00797544" w:rsidRDefault="00797544"/>
    <w:p w14:paraId="182CC21F" w14:textId="77777777" w:rsidR="00285BAC" w:rsidRPr="00285BAC" w:rsidRDefault="00285BAC" w:rsidP="00285BAC">
      <w:pPr>
        <w:rPr>
          <w:lang w:val="en-US"/>
        </w:rPr>
      </w:pPr>
      <w:r w:rsidRPr="00285BAC">
        <w:rPr>
          <w:lang w:val="en-US"/>
        </w:rPr>
        <w:t xml:space="preserve">Doering, Christopher. “Mondelēz Launches New Strategies to Refresh Iconic Toblerone and Milka Brands.” </w:t>
      </w:r>
      <w:r w:rsidRPr="00285BAC">
        <w:rPr>
          <w:i/>
          <w:iCs/>
          <w:lang w:val="en-US"/>
        </w:rPr>
        <w:t>Food Dive</w:t>
      </w:r>
      <w:r w:rsidRPr="00285BAC">
        <w:rPr>
          <w:lang w:val="en-US"/>
        </w:rPr>
        <w:t xml:space="preserve">, 11 Jan. 2023, www.fooddive.com/news/mondelez-launches-new-strategies-to-refresh-iconic-toblerone-and-milka-bran/636056/. </w:t>
      </w:r>
    </w:p>
    <w:p w14:paraId="7D1CCD00" w14:textId="77777777" w:rsidR="00285BAC" w:rsidRDefault="00285BAC">
      <w:pPr>
        <w:rPr>
          <w:lang w:val="en-US"/>
        </w:rPr>
      </w:pPr>
    </w:p>
    <w:p w14:paraId="21447504" w14:textId="77777777" w:rsidR="008D1B67" w:rsidRPr="008D1B67" w:rsidRDefault="008D1B67" w:rsidP="008D1B67">
      <w:pPr>
        <w:rPr>
          <w:lang w:val="en-US"/>
        </w:rPr>
      </w:pPr>
      <w:r w:rsidRPr="008D1B67">
        <w:rPr>
          <w:lang w:val="en-US"/>
        </w:rPr>
        <w:t xml:space="preserve">“Mondelēz International Releases Its 2020 Snacking Made Right Sustainability Report.” </w:t>
      </w:r>
      <w:r w:rsidRPr="008D1B67">
        <w:rPr>
          <w:i/>
          <w:iCs/>
          <w:lang w:val="en-US"/>
        </w:rPr>
        <w:t>Confectionery Production</w:t>
      </w:r>
      <w:r w:rsidRPr="008D1B67">
        <w:rPr>
          <w:lang w:val="en-US"/>
        </w:rPr>
        <w:t xml:space="preserve">, 15 May 2021, www.confectioneryproduction.com/feature/35047/mondelez-international-releases-its-2020-snacking-made-right-sustainability-report/. </w:t>
      </w:r>
    </w:p>
    <w:p w14:paraId="4F6343C2" w14:textId="77777777" w:rsidR="00285BAC" w:rsidRDefault="00285BAC">
      <w:pPr>
        <w:rPr>
          <w:lang w:val="en-US"/>
        </w:rPr>
      </w:pPr>
    </w:p>
    <w:p w14:paraId="72DF491F" w14:textId="77777777" w:rsidR="00665FA5" w:rsidRPr="00665FA5" w:rsidRDefault="00665FA5" w:rsidP="00665FA5">
      <w:pPr>
        <w:rPr>
          <w:lang w:val="en-US"/>
        </w:rPr>
      </w:pPr>
      <w:r w:rsidRPr="00665FA5">
        <w:rPr>
          <w:lang w:val="en-US"/>
        </w:rPr>
        <w:t xml:space="preserve">Myers, Anthony. “Mondelēz Adds More Brands to Its Cocoa Life Program as New Report Shows It’s on Track to Deliver 100% Sustainability by 2025.” </w:t>
      </w:r>
      <w:r w:rsidRPr="00665FA5">
        <w:rPr>
          <w:i/>
          <w:iCs/>
          <w:lang w:val="en-US"/>
        </w:rPr>
        <w:t>Confectionerynews.Com</w:t>
      </w:r>
      <w:r w:rsidRPr="00665FA5">
        <w:rPr>
          <w:lang w:val="en-US"/>
        </w:rPr>
        <w:t xml:space="preserve">, William Reed Ltd, 30 Apr. 2019, www.confectionerynews.com/Article/2019/04/30/Mondelez-adds-more-brands-to-its-Cocoa-Life-Program-as-new-report-shows-it-s-on-track-to-deliver-100-sustainability-by-2025. </w:t>
      </w:r>
    </w:p>
    <w:p w14:paraId="6BCA8453" w14:textId="77777777" w:rsidR="008D1B67" w:rsidRDefault="008D1B67">
      <w:pPr>
        <w:rPr>
          <w:lang w:val="en-US"/>
        </w:rPr>
      </w:pPr>
    </w:p>
    <w:p w14:paraId="72977408" w14:textId="77777777" w:rsidR="00D76620" w:rsidRPr="00D76620" w:rsidRDefault="00D76620" w:rsidP="00D76620">
      <w:pPr>
        <w:rPr>
          <w:lang w:val="en-US"/>
        </w:rPr>
      </w:pPr>
      <w:r w:rsidRPr="00D76620">
        <w:rPr>
          <w:lang w:val="en-US"/>
        </w:rPr>
        <w:t xml:space="preserve">“Packaging.” </w:t>
      </w:r>
      <w:r w:rsidRPr="00D76620">
        <w:rPr>
          <w:i/>
          <w:iCs/>
          <w:lang w:val="en-US"/>
        </w:rPr>
        <w:t>PepsicoUpgrade</w:t>
      </w:r>
      <w:r w:rsidRPr="00D76620">
        <w:rPr>
          <w:lang w:val="en-US"/>
        </w:rPr>
        <w:t xml:space="preserve">, www.pepsico.com/our-impact/esg-topics-a-z/packaging. Accessed 12 Nov. 2024. </w:t>
      </w:r>
    </w:p>
    <w:p w14:paraId="72D096B7" w14:textId="77777777" w:rsidR="00665FA5" w:rsidRDefault="00665FA5">
      <w:pPr>
        <w:rPr>
          <w:lang w:val="en-US"/>
        </w:rPr>
      </w:pPr>
    </w:p>
    <w:p w14:paraId="773539A9" w14:textId="77777777" w:rsidR="00A71A5D" w:rsidRPr="00A71A5D" w:rsidRDefault="00A71A5D" w:rsidP="00A71A5D">
      <w:pPr>
        <w:rPr>
          <w:lang w:val="en-US"/>
        </w:rPr>
      </w:pPr>
      <w:r w:rsidRPr="00A71A5D">
        <w:rPr>
          <w:lang w:val="en-US"/>
        </w:rPr>
        <w:t xml:space="preserve">Arthur, Rachel. “Which Companies Have the Most Ambitious Plastic Packaging Reduction Targets?” </w:t>
      </w:r>
      <w:r w:rsidRPr="00A71A5D">
        <w:rPr>
          <w:i/>
          <w:iCs/>
          <w:lang w:val="en-US"/>
        </w:rPr>
        <w:t>Beveragedaily.Com</w:t>
      </w:r>
      <w:r w:rsidRPr="00A71A5D">
        <w:rPr>
          <w:lang w:val="en-US"/>
        </w:rPr>
        <w:t xml:space="preserve">, William Reed Ltd, 6 Mar. 2020, www.beveragedaily.com/Article/2020/03/06/Coca-Cola-PepsiCo-Nestle-How-packaging-sustainability-commitments-compare. </w:t>
      </w:r>
    </w:p>
    <w:p w14:paraId="390C8869" w14:textId="77777777" w:rsidR="00D76620" w:rsidRDefault="00D76620">
      <w:pPr>
        <w:rPr>
          <w:lang w:val="en-US"/>
        </w:rPr>
      </w:pPr>
    </w:p>
    <w:p w14:paraId="15E9188B" w14:textId="77777777" w:rsidR="000E565B" w:rsidRPr="000E565B" w:rsidRDefault="000E565B" w:rsidP="000E565B">
      <w:pPr>
        <w:rPr>
          <w:lang w:val="en-US"/>
        </w:rPr>
      </w:pPr>
      <w:r w:rsidRPr="000E565B">
        <w:rPr>
          <w:lang w:val="en-US"/>
        </w:rPr>
        <w:t xml:space="preserve">“Our Packaging Strategy.” </w:t>
      </w:r>
      <w:r w:rsidRPr="000E565B">
        <w:rPr>
          <w:i/>
          <w:iCs/>
          <w:lang w:val="en-US"/>
        </w:rPr>
        <w:t>Nestlé Global</w:t>
      </w:r>
      <w:r w:rsidRPr="000E565B">
        <w:rPr>
          <w:lang w:val="en-US"/>
        </w:rPr>
        <w:t xml:space="preserve">, www.nestle.com/sustainability/waste-reduction/packaging-strategy. Accessed 12 Nov. 2024. </w:t>
      </w:r>
    </w:p>
    <w:p w14:paraId="511DFBB1" w14:textId="77777777" w:rsidR="00A71A5D" w:rsidRDefault="00A71A5D">
      <w:pPr>
        <w:rPr>
          <w:lang w:val="en-US"/>
        </w:rPr>
      </w:pPr>
    </w:p>
    <w:p w14:paraId="69854491" w14:textId="77777777" w:rsidR="00D1052B" w:rsidRPr="00D1052B" w:rsidRDefault="00D1052B" w:rsidP="00D1052B">
      <w:pPr>
        <w:rPr>
          <w:lang w:val="en-US"/>
        </w:rPr>
      </w:pPr>
      <w:r w:rsidRPr="00D1052B">
        <w:rPr>
          <w:lang w:val="en-US"/>
        </w:rPr>
        <w:t>“</w:t>
      </w:r>
      <w:proofErr w:type="gramStart"/>
      <w:r w:rsidRPr="00D1052B">
        <w:rPr>
          <w:lang w:val="en-US"/>
        </w:rPr>
        <w:t>Projeto</w:t>
      </w:r>
      <w:r w:rsidRPr="00D1052B">
        <w:rPr>
          <w:rFonts w:ascii="Arial" w:hAnsi="Arial" w:cs="Arial"/>
          <w:lang w:val="en-US"/>
        </w:rPr>
        <w:t> </w:t>
      </w:r>
      <w:r w:rsidRPr="00D1052B">
        <w:rPr>
          <w:lang w:val="en-US"/>
        </w:rPr>
        <w:t>:</w:t>
      </w:r>
      <w:proofErr w:type="gramEnd"/>
      <w:r w:rsidRPr="00D1052B">
        <w:rPr>
          <w:lang w:val="en-US"/>
        </w:rPr>
        <w:t xml:space="preserve"> CLABEL+: Alimentos Inovadores </w:t>
      </w:r>
      <w:r w:rsidRPr="00D1052B">
        <w:rPr>
          <w:rFonts w:ascii="Aptos" w:hAnsi="Aptos" w:cs="Aptos"/>
          <w:lang w:val="en-US"/>
        </w:rPr>
        <w:t>‘</w:t>
      </w:r>
      <w:r w:rsidRPr="00D1052B">
        <w:rPr>
          <w:lang w:val="en-US"/>
        </w:rPr>
        <w:t>Clean Label</w:t>
      </w:r>
      <w:r w:rsidRPr="00D1052B">
        <w:rPr>
          <w:rFonts w:ascii="Aptos" w:hAnsi="Aptos" w:cs="Aptos"/>
          <w:lang w:val="en-US"/>
        </w:rPr>
        <w:t>’</w:t>
      </w:r>
      <w:r w:rsidRPr="00D1052B">
        <w:rPr>
          <w:lang w:val="en-US"/>
        </w:rPr>
        <w:t xml:space="preserve"> Naturais, Nutrit.</w:t>
      </w:r>
      <w:r w:rsidRPr="00D1052B">
        <w:rPr>
          <w:rFonts w:ascii="Aptos" w:hAnsi="Aptos" w:cs="Aptos"/>
          <w:lang w:val="en-US"/>
        </w:rPr>
        <w:t>”</w:t>
      </w:r>
      <w:r w:rsidRPr="00D1052B">
        <w:rPr>
          <w:lang w:val="en-US"/>
        </w:rPr>
        <w:t xml:space="preserve"> </w:t>
      </w:r>
      <w:r w:rsidRPr="00D1052B">
        <w:rPr>
          <w:i/>
          <w:iCs/>
          <w:lang w:val="en-US"/>
        </w:rPr>
        <w:t>Vieira de Castro</w:t>
      </w:r>
      <w:r w:rsidRPr="00D1052B">
        <w:rPr>
          <w:lang w:val="en-US"/>
        </w:rPr>
        <w:t xml:space="preserve">, vieiradecastro.pt/pages/projeto-clabel. Accessed 12 Nov. 2024. </w:t>
      </w:r>
    </w:p>
    <w:p w14:paraId="28C599B0" w14:textId="77777777" w:rsidR="000E565B" w:rsidRDefault="000E565B">
      <w:pPr>
        <w:rPr>
          <w:lang w:val="en-US"/>
        </w:rPr>
      </w:pPr>
    </w:p>
    <w:p w14:paraId="29DDA2C9" w14:textId="77777777" w:rsidR="000866CC" w:rsidRPr="000866CC" w:rsidRDefault="000866CC" w:rsidP="000866CC">
      <w:pPr>
        <w:rPr>
          <w:lang w:val="en-US"/>
        </w:rPr>
      </w:pPr>
      <w:r w:rsidRPr="000866CC">
        <w:rPr>
          <w:lang w:val="en-US"/>
        </w:rPr>
        <w:t xml:space="preserve">“Unilever Reveals Influencers Can Switch People on to Sustainable Living.” </w:t>
      </w:r>
      <w:r w:rsidRPr="000866CC">
        <w:rPr>
          <w:i/>
          <w:iCs/>
          <w:lang w:val="en-US"/>
        </w:rPr>
        <w:t>Unilever</w:t>
      </w:r>
      <w:r w:rsidRPr="000866CC">
        <w:rPr>
          <w:lang w:val="en-US"/>
        </w:rPr>
        <w:t xml:space="preserve">, Unilever PLC, 25 Oct. 2024, www.unilever.com/news/press-and-media/press-releases/2023/unilever-reveals-influencers-can-switch-people-on-to-sustainable-living/. </w:t>
      </w:r>
    </w:p>
    <w:p w14:paraId="7D8FB909" w14:textId="77777777" w:rsidR="00D1052B" w:rsidRDefault="00D1052B">
      <w:pPr>
        <w:rPr>
          <w:lang w:val="en-US"/>
        </w:rPr>
      </w:pPr>
    </w:p>
    <w:p w14:paraId="37E034F4" w14:textId="77777777" w:rsidR="00CB7D5F" w:rsidRPr="00CB7D5F" w:rsidRDefault="00CB7D5F" w:rsidP="00CB7D5F">
      <w:pPr>
        <w:rPr>
          <w:lang w:val="en-US"/>
        </w:rPr>
      </w:pPr>
      <w:r w:rsidRPr="00CB7D5F">
        <w:rPr>
          <w:lang w:val="en-US"/>
        </w:rPr>
        <w:t xml:space="preserve">“Advertising and Marketing.” </w:t>
      </w:r>
      <w:r w:rsidRPr="00CB7D5F">
        <w:rPr>
          <w:i/>
          <w:iCs/>
          <w:lang w:val="en-US"/>
        </w:rPr>
        <w:t>Unilever</w:t>
      </w:r>
      <w:r w:rsidRPr="00CB7D5F">
        <w:rPr>
          <w:lang w:val="en-US"/>
        </w:rPr>
        <w:t xml:space="preserve">, Unilever PLC, 18 Apr. 2024, www.unilever.com/sustainability/responsible-business/advertising-and-marketing/. </w:t>
      </w:r>
    </w:p>
    <w:p w14:paraId="4DE3A56D" w14:textId="77777777" w:rsidR="000866CC" w:rsidRDefault="000866CC">
      <w:pPr>
        <w:rPr>
          <w:lang w:val="en-US"/>
        </w:rPr>
      </w:pPr>
    </w:p>
    <w:p w14:paraId="1208DB6F" w14:textId="77777777" w:rsidR="003221DE" w:rsidRPr="003221DE" w:rsidRDefault="003221DE" w:rsidP="003221DE">
      <w:pPr>
        <w:rPr>
          <w:lang w:val="en-US"/>
        </w:rPr>
      </w:pPr>
      <w:r w:rsidRPr="003221DE">
        <w:rPr>
          <w:i/>
          <w:iCs/>
          <w:lang w:val="en-US"/>
        </w:rPr>
        <w:t>Mondelez Says Facebook Ads Generate Sweeter ROI than TV</w:t>
      </w:r>
      <w:r w:rsidRPr="003221DE">
        <w:rPr>
          <w:lang w:val="en-US"/>
        </w:rPr>
        <w:t xml:space="preserve">, www.marketingweek.com/mondelez-says-facebook-ads-generate-sweeter-roi-than-tv/. Accessed 12 Nov. 2024. </w:t>
      </w:r>
    </w:p>
    <w:p w14:paraId="642E4B16" w14:textId="77777777" w:rsidR="00CB7D5F" w:rsidRDefault="00CB7D5F">
      <w:pPr>
        <w:rPr>
          <w:lang w:val="en-US"/>
        </w:rPr>
      </w:pPr>
    </w:p>
    <w:p w14:paraId="75CF4FCF" w14:textId="77777777" w:rsidR="008279D2" w:rsidRPr="008279D2" w:rsidRDefault="008279D2" w:rsidP="008279D2">
      <w:pPr>
        <w:rPr>
          <w:lang w:val="en-US"/>
        </w:rPr>
      </w:pPr>
      <w:r w:rsidRPr="008279D2">
        <w:rPr>
          <w:lang w:val="en-US"/>
        </w:rPr>
        <w:t xml:space="preserve">Thirdeyeblindproductions. “Lays Marketing Strategy: The Secret Formula to Snack Success.” </w:t>
      </w:r>
      <w:r w:rsidRPr="008279D2">
        <w:rPr>
          <w:i/>
          <w:iCs/>
          <w:lang w:val="en-US"/>
        </w:rPr>
        <w:t>Third Eye Blind Productions</w:t>
      </w:r>
      <w:r w:rsidRPr="008279D2">
        <w:rPr>
          <w:lang w:val="en-US"/>
        </w:rPr>
        <w:t xml:space="preserve">, 21 Aug. 2024, thirdeyeblindproductions.com/lays-marketing-strategy-the-secret-formula-to-snack-success/. </w:t>
      </w:r>
    </w:p>
    <w:p w14:paraId="480CF91D" w14:textId="77777777" w:rsidR="003221DE" w:rsidRDefault="003221DE">
      <w:pPr>
        <w:rPr>
          <w:lang w:val="en-US"/>
        </w:rPr>
      </w:pPr>
    </w:p>
    <w:p w14:paraId="4FFE85A3" w14:textId="77777777" w:rsidR="00E33559" w:rsidRPr="00E33559" w:rsidRDefault="00E33559" w:rsidP="00E33559">
      <w:pPr>
        <w:rPr>
          <w:lang w:val="en-US"/>
        </w:rPr>
      </w:pPr>
      <w:r w:rsidRPr="00E33559">
        <w:rPr>
          <w:lang w:val="en-US"/>
        </w:rPr>
        <w:t xml:space="preserve">Steinmetz, Allan. “Kellogg Company Splits Business with Launch of Kellanova to House Global Snacking Brands - Is This a Good or Bad Move?” </w:t>
      </w:r>
      <w:r w:rsidRPr="00E33559">
        <w:rPr>
          <w:i/>
          <w:iCs/>
          <w:lang w:val="en-US"/>
        </w:rPr>
        <w:t>LinkedIn</w:t>
      </w:r>
      <w:r w:rsidRPr="00E33559">
        <w:rPr>
          <w:lang w:val="en-US"/>
        </w:rPr>
        <w:t xml:space="preserve">, 2 Oct. 2023, www.linkedin.com/pulse/kellogg-company-splits-business-launch-kellanova-house-steinmetz. </w:t>
      </w:r>
    </w:p>
    <w:p w14:paraId="677B287E" w14:textId="77777777" w:rsidR="008279D2" w:rsidRDefault="008279D2">
      <w:pPr>
        <w:rPr>
          <w:lang w:val="en-US"/>
        </w:rPr>
      </w:pPr>
    </w:p>
    <w:p w14:paraId="26510B73" w14:textId="7B9FBD45" w:rsidR="00C71E23" w:rsidRPr="00C71E23" w:rsidRDefault="00324E23" w:rsidP="00C71E23">
      <w:pPr>
        <w:rPr>
          <w:lang w:val="en-US"/>
        </w:rPr>
      </w:pPr>
      <w:r w:rsidRPr="00324E23">
        <w:rPr>
          <w:lang w:val="en-US"/>
        </w:rPr>
        <w:t xml:space="preserve">“Why the Split?” </w:t>
      </w:r>
      <w:r w:rsidRPr="00324E23">
        <w:rPr>
          <w:i/>
          <w:iCs/>
          <w:lang w:val="en-US"/>
        </w:rPr>
        <w:t>WK Kellogg Co</w:t>
      </w:r>
      <w:r w:rsidRPr="00324E23">
        <w:rPr>
          <w:lang w:val="en-US"/>
        </w:rPr>
        <w:t xml:space="preserve">, www.wkkellogg.com/en-us/who-we-are/our-story/why-the-split.html. Accessed 12 Nov. 2024. </w:t>
      </w:r>
      <w:r w:rsidR="00C71E23" w:rsidRPr="00C71E23">
        <w:rPr>
          <w:lang w:val="en-US"/>
        </w:rPr>
        <w:t xml:space="preserve"> </w:t>
      </w:r>
    </w:p>
    <w:p w14:paraId="2B782B72" w14:textId="77777777" w:rsidR="00C71E23" w:rsidRDefault="00C71E23">
      <w:pPr>
        <w:rPr>
          <w:lang w:val="en-US"/>
        </w:rPr>
      </w:pPr>
    </w:p>
    <w:p w14:paraId="1B1ADED4" w14:textId="77777777" w:rsidR="00332C35" w:rsidRPr="00332C35" w:rsidRDefault="00332C35" w:rsidP="00332C35">
      <w:pPr>
        <w:rPr>
          <w:lang w:val="en-US"/>
        </w:rPr>
      </w:pPr>
      <w:r w:rsidRPr="00332C35">
        <w:rPr>
          <w:lang w:val="en-US"/>
        </w:rPr>
        <w:t xml:space="preserve">HYDE (2023); Gapminder (2022); UN WPP (2024) – with major processing by Our World in Data. “Population” [dataset]. PBL Netherlands Environmental Assessment Agency, “History Database of the Global Environment 3.3”; Gapminder, “Population v7”; United Nations, “World Population Prospects”; Gapminder, “Systema Globalis” [original data]. Retrieved November 12, </w:t>
      </w:r>
      <w:proofErr w:type="gramStart"/>
      <w:r w:rsidRPr="00332C35">
        <w:rPr>
          <w:lang w:val="en-US"/>
        </w:rPr>
        <w:t>2024</w:t>
      </w:r>
      <w:proofErr w:type="gramEnd"/>
      <w:r w:rsidRPr="00332C35">
        <w:rPr>
          <w:lang w:val="en-US"/>
        </w:rPr>
        <w:t xml:space="preserve"> from </w:t>
      </w:r>
      <w:hyperlink r:id="rId10" w:history="1">
        <w:r w:rsidRPr="00332C35">
          <w:rPr>
            <w:rStyle w:val="Collegamentoipertestuale"/>
            <w:lang w:val="en-US"/>
          </w:rPr>
          <w:t>https://ourworldindata.org/grapher/population</w:t>
        </w:r>
      </w:hyperlink>
    </w:p>
    <w:p w14:paraId="7F7271AE" w14:textId="77777777" w:rsidR="00771D82" w:rsidRDefault="00771D82">
      <w:pPr>
        <w:rPr>
          <w:lang w:val="en-US"/>
        </w:rPr>
      </w:pPr>
    </w:p>
    <w:p w14:paraId="2009092A" w14:textId="77777777" w:rsidR="006E20A7" w:rsidRPr="006E20A7" w:rsidRDefault="006E20A7" w:rsidP="006E20A7">
      <w:pPr>
        <w:rPr>
          <w:lang w:val="en-US"/>
        </w:rPr>
      </w:pPr>
      <w:r w:rsidRPr="006E20A7">
        <w:rPr>
          <w:lang w:val="en-US"/>
        </w:rPr>
        <w:t xml:space="preserve">HYDE (2023); Gapminder (2022); UN WPP (2024); UN FAO (2024) – with major processing by Our World in Data. “Population density” [dataset]. PBL Netherlands Environmental Assessment Agency, “History Database of the Global Environment 3.3”; Gapminder, “Population v7”; United Nations, “World Population Prospects”; Gapminder, “Systema Globalis”; Food and Agriculture Organization of the United Nations, “Land, Inputs and Sustainability: Land Use” [original data]. Retrieved November 12, </w:t>
      </w:r>
      <w:proofErr w:type="gramStart"/>
      <w:r w:rsidRPr="006E20A7">
        <w:rPr>
          <w:lang w:val="en-US"/>
        </w:rPr>
        <w:t>2024</w:t>
      </w:r>
      <w:proofErr w:type="gramEnd"/>
      <w:r w:rsidRPr="006E20A7">
        <w:rPr>
          <w:lang w:val="en-US"/>
        </w:rPr>
        <w:t xml:space="preserve"> from </w:t>
      </w:r>
      <w:hyperlink r:id="rId11" w:history="1">
        <w:r w:rsidRPr="006E20A7">
          <w:rPr>
            <w:rStyle w:val="Collegamentoipertestuale"/>
            <w:lang w:val="en-US"/>
          </w:rPr>
          <w:t>https://ourworldindata.org/grapher/population-density</w:t>
        </w:r>
      </w:hyperlink>
    </w:p>
    <w:p w14:paraId="060CD1DD" w14:textId="77777777" w:rsidR="00332C35" w:rsidRDefault="00332C35">
      <w:pPr>
        <w:rPr>
          <w:lang w:val="en-US"/>
        </w:rPr>
      </w:pPr>
    </w:p>
    <w:p w14:paraId="3AC07FA8" w14:textId="77777777" w:rsidR="00E03641" w:rsidRPr="00E03641" w:rsidRDefault="00E03641" w:rsidP="00E03641">
      <w:pPr>
        <w:rPr>
          <w:lang w:val="en-US"/>
        </w:rPr>
      </w:pPr>
      <w:r w:rsidRPr="00E03641">
        <w:rPr>
          <w:lang w:val="en-US"/>
        </w:rPr>
        <w:lastRenderedPageBreak/>
        <w:t xml:space="preserve">United Nations Department of Economic and Social Affairs (2020) – with minor processing by Our World in Data. “Total number of international immigrants” [dataset]. United Nations Department of Economic and Social Affairs, “International Migrant Stock 2020 - POP/DB/MIG/Stock/Rev.2020” [original data]. Retrieved November 12, </w:t>
      </w:r>
      <w:proofErr w:type="gramStart"/>
      <w:r w:rsidRPr="00E03641">
        <w:rPr>
          <w:lang w:val="en-US"/>
        </w:rPr>
        <w:t>2024</w:t>
      </w:r>
      <w:proofErr w:type="gramEnd"/>
      <w:r w:rsidRPr="00E03641">
        <w:rPr>
          <w:lang w:val="en-US"/>
        </w:rPr>
        <w:t xml:space="preserve"> from </w:t>
      </w:r>
      <w:hyperlink r:id="rId12" w:history="1">
        <w:r w:rsidRPr="00E03641">
          <w:rPr>
            <w:rStyle w:val="Collegamentoipertestuale"/>
            <w:lang w:val="en-US"/>
          </w:rPr>
          <w:t>https://ourworldindata.org/grapher/migrant-stock-total</w:t>
        </w:r>
      </w:hyperlink>
    </w:p>
    <w:p w14:paraId="249A759F" w14:textId="77777777" w:rsidR="006E20A7" w:rsidRDefault="006E20A7">
      <w:pPr>
        <w:rPr>
          <w:lang w:val="en-US"/>
        </w:rPr>
      </w:pPr>
    </w:p>
    <w:p w14:paraId="588381F3" w14:textId="1D6A8161" w:rsidR="0006471B" w:rsidRPr="0006471B" w:rsidRDefault="0006471B" w:rsidP="0006471B">
      <w:pPr>
        <w:rPr>
          <w:lang w:val="en-US"/>
        </w:rPr>
      </w:pPr>
      <w:r>
        <w:rPr>
          <w:lang w:val="en-US"/>
        </w:rPr>
        <w:t>M</w:t>
      </w:r>
      <w:r w:rsidRPr="0006471B">
        <w:rPr>
          <w:lang w:val="en-US"/>
        </w:rPr>
        <w:t xml:space="preserve">ultiple sources compiled by World Bank (2024) – processed by Our World in Data. “Share of population living below national poverty lines” [dataset]. World Bank, “World Development Indicators” [original data]. Retrieved November 12, 2024 from </w:t>
      </w:r>
      <w:hyperlink r:id="rId13" w:history="1">
        <w:r w:rsidRPr="0006471B">
          <w:rPr>
            <w:rStyle w:val="Collegamentoipertestuale"/>
            <w:lang w:val="en-US"/>
          </w:rPr>
          <w:t>https://ourworldindata.org/grapher/share-of-population-living-in-poverty-by-national-poverty-lines</w:t>
        </w:r>
      </w:hyperlink>
    </w:p>
    <w:p w14:paraId="7245355B" w14:textId="77777777" w:rsidR="0006471B" w:rsidRDefault="0006471B">
      <w:pPr>
        <w:rPr>
          <w:lang w:val="en-US"/>
        </w:rPr>
      </w:pPr>
    </w:p>
    <w:p w14:paraId="6EAA0400" w14:textId="77777777" w:rsidR="00224A7A" w:rsidRPr="00224A7A" w:rsidRDefault="00224A7A" w:rsidP="00224A7A">
      <w:pPr>
        <w:rPr>
          <w:lang w:val="en-US"/>
        </w:rPr>
      </w:pPr>
      <w:r w:rsidRPr="00224A7A">
        <w:rPr>
          <w:lang w:val="de-DE"/>
        </w:rPr>
        <w:t xml:space="preserve">UN WPP (2022); HMD (2023); Zijdeman et al. </w:t>
      </w:r>
      <w:r w:rsidRPr="00224A7A">
        <w:rPr>
          <w:lang w:val="en-US"/>
        </w:rPr>
        <w:t xml:space="preserve">(2015); Riley (2005) – with minor processing by Our World in Data. “Life expectancy at birth – Various sources – period tables” [dataset]. Human Mortality Database, “Human Mortality Database”; United Nations, “World Population Prospects 2022”; United Nations, “World Population Prospects”; Zijdeman et al., “Life Expectancy at birth 2”; James C. Riley, “Estimates of Regional and Global Life Expectancy, 1800-2001” [original data]. Retrieved November 12, </w:t>
      </w:r>
      <w:proofErr w:type="gramStart"/>
      <w:r w:rsidRPr="00224A7A">
        <w:rPr>
          <w:lang w:val="en-US"/>
        </w:rPr>
        <w:t>2024</w:t>
      </w:r>
      <w:proofErr w:type="gramEnd"/>
      <w:r w:rsidRPr="00224A7A">
        <w:rPr>
          <w:lang w:val="en-US"/>
        </w:rPr>
        <w:t xml:space="preserve"> from </w:t>
      </w:r>
      <w:hyperlink r:id="rId14" w:history="1">
        <w:r w:rsidRPr="00224A7A">
          <w:rPr>
            <w:rStyle w:val="Collegamentoipertestuale"/>
            <w:lang w:val="en-US"/>
          </w:rPr>
          <w:t>https://ourworldindata.org/grapher/life-expectancy</w:t>
        </w:r>
      </w:hyperlink>
    </w:p>
    <w:p w14:paraId="7C99DC0E" w14:textId="77777777" w:rsidR="0006471B" w:rsidRPr="00285BAC" w:rsidRDefault="0006471B">
      <w:pPr>
        <w:rPr>
          <w:lang w:val="en-US"/>
        </w:rPr>
      </w:pPr>
    </w:p>
    <w:sectPr w:rsidR="0006471B" w:rsidRPr="00285B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FD"/>
    <w:rsid w:val="0003483A"/>
    <w:rsid w:val="00056EE7"/>
    <w:rsid w:val="0006471B"/>
    <w:rsid w:val="000866CC"/>
    <w:rsid w:val="000E565B"/>
    <w:rsid w:val="00105EAD"/>
    <w:rsid w:val="00123EA8"/>
    <w:rsid w:val="00164B55"/>
    <w:rsid w:val="0016669B"/>
    <w:rsid w:val="00186E4C"/>
    <w:rsid w:val="001A50B9"/>
    <w:rsid w:val="00224A7A"/>
    <w:rsid w:val="00285BAC"/>
    <w:rsid w:val="003221DE"/>
    <w:rsid w:val="00324E23"/>
    <w:rsid w:val="00332C35"/>
    <w:rsid w:val="005272DA"/>
    <w:rsid w:val="00560757"/>
    <w:rsid w:val="0066258B"/>
    <w:rsid w:val="00665FA5"/>
    <w:rsid w:val="006A43B7"/>
    <w:rsid w:val="006E20A7"/>
    <w:rsid w:val="0072107F"/>
    <w:rsid w:val="00771D82"/>
    <w:rsid w:val="00797544"/>
    <w:rsid w:val="008279D2"/>
    <w:rsid w:val="008C05EA"/>
    <w:rsid w:val="008D1B67"/>
    <w:rsid w:val="008E6A34"/>
    <w:rsid w:val="00924509"/>
    <w:rsid w:val="00982D80"/>
    <w:rsid w:val="009F6A6A"/>
    <w:rsid w:val="00A5136C"/>
    <w:rsid w:val="00A71A5D"/>
    <w:rsid w:val="00C014DA"/>
    <w:rsid w:val="00C71E23"/>
    <w:rsid w:val="00C93153"/>
    <w:rsid w:val="00CB7D5F"/>
    <w:rsid w:val="00CC35A6"/>
    <w:rsid w:val="00D1052B"/>
    <w:rsid w:val="00D16A78"/>
    <w:rsid w:val="00D311AB"/>
    <w:rsid w:val="00D37A2C"/>
    <w:rsid w:val="00D76620"/>
    <w:rsid w:val="00E03641"/>
    <w:rsid w:val="00E10FDF"/>
    <w:rsid w:val="00E11377"/>
    <w:rsid w:val="00E27947"/>
    <w:rsid w:val="00E33559"/>
    <w:rsid w:val="00EE7CFD"/>
    <w:rsid w:val="00E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FF03"/>
  <w15:chartTrackingRefBased/>
  <w15:docId w15:val="{E61F10B0-6EED-4491-A72E-9B2F5E1C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7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E7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E7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E7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7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7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7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7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7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7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E7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E7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E7C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7C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7C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7C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7C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7C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7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7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7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E7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7C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E7C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E7C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7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7C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E7CF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9315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3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gdp-per-capita-worldbank" TargetMode="External"/><Relationship Id="rId13" Type="http://schemas.openxmlformats.org/officeDocument/2006/relationships/hyperlink" Target="https://ourworldindata.org/grapher/share-of-population-living-in-poverty-by-national-poverty-li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grapher/share-of-adults-who-are-overweight" TargetMode="External"/><Relationship Id="rId12" Type="http://schemas.openxmlformats.org/officeDocument/2006/relationships/hyperlink" Target="https://ourworldindata.org/grapher/migrant-stock-tota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urworldindata.org/grapher/daily-per-capita-caloric-supply" TargetMode="External"/><Relationship Id="rId11" Type="http://schemas.openxmlformats.org/officeDocument/2006/relationships/hyperlink" Target="https://ourworldindata.org/grapher/population-density" TargetMode="External"/><Relationship Id="rId5" Type="http://schemas.openxmlformats.org/officeDocument/2006/relationships/hyperlink" Target="https://ourworldindata.org/grapher/popul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urworldindata.org/grapher/population" TargetMode="External"/><Relationship Id="rId4" Type="http://schemas.openxmlformats.org/officeDocument/2006/relationships/hyperlink" Target="https://ourworldindata.org/grapher/consumer-price-index" TargetMode="External"/><Relationship Id="rId9" Type="http://schemas.openxmlformats.org/officeDocument/2006/relationships/hyperlink" Target="https://ourworldindata.org/grapher/human-development-index" TargetMode="External"/><Relationship Id="rId14" Type="http://schemas.openxmlformats.org/officeDocument/2006/relationships/hyperlink" Target="https://ourworldindata.org/grapher/life-expectanc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Brunello</dc:creator>
  <cp:keywords/>
  <dc:description/>
  <cp:lastModifiedBy>Andrea Brunello</cp:lastModifiedBy>
  <cp:revision>38</cp:revision>
  <dcterms:created xsi:type="dcterms:W3CDTF">2024-11-11T09:58:00Z</dcterms:created>
  <dcterms:modified xsi:type="dcterms:W3CDTF">2024-11-12T08:58:00Z</dcterms:modified>
</cp:coreProperties>
</file>