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A7C24C" w14:textId="77777777" w:rsidR="00B97531" w:rsidRDefault="00B97531" w:rsidP="00B97531">
      <w:pPr>
        <w:widowControl w:val="0"/>
        <w:pBdr>
          <w:top w:val="nil"/>
          <w:left w:val="nil"/>
          <w:bottom w:val="nil"/>
          <w:right w:val="nil"/>
          <w:between w:val="nil"/>
        </w:pBdr>
        <w:rPr>
          <w:b/>
          <w:bCs/>
          <w:sz w:val="28"/>
          <w:szCs w:val="28"/>
        </w:rPr>
      </w:pPr>
      <w:r>
        <w:rPr>
          <w:b/>
          <w:bCs/>
          <w:sz w:val="28"/>
          <w:szCs w:val="28"/>
        </w:rPr>
        <w:t>Supplementary materials</w:t>
      </w:r>
    </w:p>
    <w:p w14:paraId="14D5C8FC" w14:textId="77777777" w:rsidR="00B97531" w:rsidRDefault="00B97531" w:rsidP="00B97531">
      <w:pPr>
        <w:widowControl w:val="0"/>
        <w:pBdr>
          <w:top w:val="nil"/>
          <w:left w:val="nil"/>
          <w:bottom w:val="nil"/>
          <w:right w:val="nil"/>
          <w:between w:val="nil"/>
        </w:pBdr>
        <w:rPr>
          <w:b/>
          <w:bCs/>
        </w:rPr>
      </w:pPr>
    </w:p>
    <w:p w14:paraId="688C2A2F" w14:textId="77777777" w:rsidR="00B97531" w:rsidRDefault="00B97531" w:rsidP="00B97531">
      <w:pPr>
        <w:widowControl w:val="0"/>
        <w:pBdr>
          <w:top w:val="nil"/>
          <w:left w:val="nil"/>
          <w:bottom w:val="nil"/>
          <w:right w:val="nil"/>
          <w:between w:val="nil"/>
        </w:pBdr>
        <w:rPr>
          <w:b/>
          <w:bCs/>
        </w:rPr>
      </w:pPr>
      <w:r>
        <w:rPr>
          <w:b/>
          <w:bCs/>
        </w:rPr>
        <w:t>Supplementary methods</w:t>
      </w:r>
      <w:r>
        <w:rPr>
          <w:b/>
          <w:bCs/>
        </w:rPr>
        <w:br/>
      </w:r>
      <w:r>
        <w:rPr>
          <w:b/>
          <w:bCs/>
        </w:rPr>
        <w:br/>
        <w:t>Screening protocol for evidence factors synthesis</w:t>
      </w:r>
    </w:p>
    <w:p w14:paraId="643B4795" w14:textId="77777777" w:rsidR="00B97531" w:rsidRDefault="00B97531" w:rsidP="00B97531"/>
    <w:p w14:paraId="5135F84B" w14:textId="77777777" w:rsidR="00B97531" w:rsidRDefault="00B97531" w:rsidP="00B97531">
      <w:r>
        <w:t>This protocol outlines the process used to screen articles for a systematic review examining the factors that influence evidence use in biodiversity conservation. This is a living document and will be updated in order to resolve any disagreements between members of the review team. The protocol is divided into the two sections, each linked to a phase of the screening: (</w:t>
      </w:r>
      <w:proofErr w:type="spellStart"/>
      <w:r>
        <w:t>i</w:t>
      </w:r>
      <w:proofErr w:type="spellEnd"/>
      <w:r>
        <w:t xml:space="preserve">) title and abstract level screening; (ii) full-text screening.  </w:t>
      </w:r>
    </w:p>
    <w:p w14:paraId="1E8334EF" w14:textId="77777777" w:rsidR="00B97531" w:rsidRDefault="00B97531" w:rsidP="00B97531"/>
    <w:p w14:paraId="2A926694" w14:textId="77777777" w:rsidR="00B97531" w:rsidRDefault="00B97531" w:rsidP="00B97531">
      <w:r>
        <w:t>Although the screening process is divided into yes/no questions there are situations in which the answer is not clear - representing a ‘maybe’ response. In these cases, reviewers should seek to include studies in order to not risk excluding potentially relevant material.</w:t>
      </w:r>
    </w:p>
    <w:p w14:paraId="4D76069E" w14:textId="77777777" w:rsidR="00B97531" w:rsidRDefault="00B97531" w:rsidP="00B97531"/>
    <w:p w14:paraId="43E8C6D8" w14:textId="77777777" w:rsidR="00B97531" w:rsidRDefault="00B97531" w:rsidP="00B97531">
      <w:pPr>
        <w:rPr>
          <w:sz w:val="24"/>
          <w:szCs w:val="24"/>
        </w:rPr>
      </w:pPr>
      <w:r>
        <w:rPr>
          <w:b/>
          <w:bCs/>
          <w:sz w:val="24"/>
          <w:szCs w:val="24"/>
        </w:rPr>
        <w:t>Title and abstract screening stage</w:t>
      </w:r>
    </w:p>
    <w:p w14:paraId="54213871" w14:textId="77777777" w:rsidR="00B97531" w:rsidRDefault="00B97531" w:rsidP="00B97531">
      <w:pPr>
        <w:numPr>
          <w:ilvl w:val="0"/>
          <w:numId w:val="3"/>
        </w:numPr>
      </w:pPr>
      <w:r>
        <w:t>Is the abstract in English?</w:t>
      </w:r>
    </w:p>
    <w:p w14:paraId="197F1714" w14:textId="77777777" w:rsidR="00B97531" w:rsidRDefault="00B97531" w:rsidP="00B97531">
      <w:pPr>
        <w:numPr>
          <w:ilvl w:val="1"/>
          <w:numId w:val="3"/>
        </w:numPr>
      </w:pPr>
      <w:r>
        <w:t xml:space="preserve">Yes - </w:t>
      </w:r>
      <w:r>
        <w:rPr>
          <w:u w:val="single"/>
        </w:rPr>
        <w:t>Go to 2</w:t>
      </w:r>
      <w:r>
        <w:t>.</w:t>
      </w:r>
    </w:p>
    <w:p w14:paraId="3BA50D71" w14:textId="77777777" w:rsidR="00B97531" w:rsidRDefault="00B97531" w:rsidP="00B97531">
      <w:pPr>
        <w:numPr>
          <w:ilvl w:val="1"/>
          <w:numId w:val="3"/>
        </w:numPr>
      </w:pPr>
      <w:r>
        <w:t>No - Mark ‘Exclude with reasons’ as ‘Abstract not in English’ and click ‘Apply’.</w:t>
      </w:r>
    </w:p>
    <w:p w14:paraId="46018436" w14:textId="77777777" w:rsidR="00B97531" w:rsidRDefault="00B97531" w:rsidP="00B97531">
      <w:pPr>
        <w:numPr>
          <w:ilvl w:val="0"/>
          <w:numId w:val="3"/>
        </w:numPr>
      </w:pPr>
      <w:r>
        <w:t>Does the abstract mention biodiversity conservation</w:t>
      </w:r>
      <w:r>
        <w:rPr>
          <w:vertAlign w:val="superscript"/>
        </w:rPr>
        <w:footnoteReference w:id="1"/>
      </w:r>
      <w:r>
        <w:t>?</w:t>
      </w:r>
    </w:p>
    <w:p w14:paraId="4339F57E" w14:textId="77777777" w:rsidR="00B97531" w:rsidRDefault="00B97531" w:rsidP="00B97531">
      <w:pPr>
        <w:numPr>
          <w:ilvl w:val="1"/>
          <w:numId w:val="3"/>
        </w:numPr>
      </w:pPr>
      <w:r>
        <w:t xml:space="preserve">Yes - </w:t>
      </w:r>
      <w:r>
        <w:rPr>
          <w:u w:val="single"/>
        </w:rPr>
        <w:t>Go to 3</w:t>
      </w:r>
    </w:p>
    <w:p w14:paraId="218BAF81" w14:textId="77777777" w:rsidR="00B97531" w:rsidRDefault="00B97531" w:rsidP="00B97531">
      <w:pPr>
        <w:numPr>
          <w:ilvl w:val="1"/>
          <w:numId w:val="3"/>
        </w:numPr>
      </w:pPr>
      <w:r>
        <w:t>No - Mark ‘Exclude with reasons’ as ‘Not about conservation’ and click ‘Apply’</w:t>
      </w:r>
    </w:p>
    <w:p w14:paraId="06D89B58" w14:textId="77777777" w:rsidR="00B97531" w:rsidRDefault="00B97531" w:rsidP="00B97531">
      <w:pPr>
        <w:numPr>
          <w:ilvl w:val="0"/>
          <w:numId w:val="3"/>
        </w:numPr>
      </w:pPr>
      <w:r>
        <w:t>Does the abstract mention policy</w:t>
      </w:r>
      <w:r>
        <w:rPr>
          <w:vertAlign w:val="superscript"/>
        </w:rPr>
        <w:footnoteReference w:id="2"/>
      </w:r>
      <w:r>
        <w:t xml:space="preserve"> or practice</w:t>
      </w:r>
      <w:r>
        <w:rPr>
          <w:vertAlign w:val="superscript"/>
        </w:rPr>
        <w:footnoteReference w:id="3"/>
      </w:r>
      <w:r>
        <w:t xml:space="preserve">? </w:t>
      </w:r>
    </w:p>
    <w:p w14:paraId="3ECC2A47" w14:textId="77777777" w:rsidR="00B97531" w:rsidRDefault="00B97531" w:rsidP="00B97531">
      <w:pPr>
        <w:numPr>
          <w:ilvl w:val="1"/>
          <w:numId w:val="3"/>
        </w:numPr>
      </w:pPr>
      <w:r>
        <w:t xml:space="preserve">Yes - </w:t>
      </w:r>
      <w:r>
        <w:rPr>
          <w:u w:val="single"/>
        </w:rPr>
        <w:t>Go to 4</w:t>
      </w:r>
    </w:p>
    <w:p w14:paraId="397EBF2F" w14:textId="77777777" w:rsidR="00B97531" w:rsidRDefault="00B97531" w:rsidP="00B97531">
      <w:pPr>
        <w:numPr>
          <w:ilvl w:val="1"/>
          <w:numId w:val="3"/>
        </w:numPr>
      </w:pPr>
      <w:r>
        <w:t>No - Mark ‘Exclude with reasons’ as ‘Not about policy or practice’ and click ‘Apply’</w:t>
      </w:r>
    </w:p>
    <w:p w14:paraId="4E793C4C" w14:textId="77777777" w:rsidR="00B97531" w:rsidRDefault="00B97531" w:rsidP="00B97531">
      <w:pPr>
        <w:numPr>
          <w:ilvl w:val="0"/>
          <w:numId w:val="3"/>
        </w:numPr>
      </w:pPr>
      <w:r>
        <w:t>Does the abstract focus on the use of scientific evidence</w:t>
      </w:r>
      <w:r>
        <w:rPr>
          <w:vertAlign w:val="superscript"/>
        </w:rPr>
        <w:footnoteReference w:id="4"/>
      </w:r>
      <w:r>
        <w:t xml:space="preserve"> in decision-making about policy and practice?</w:t>
      </w:r>
    </w:p>
    <w:p w14:paraId="1C0B21BA" w14:textId="77777777" w:rsidR="00B97531" w:rsidRDefault="00B97531" w:rsidP="00B97531">
      <w:pPr>
        <w:numPr>
          <w:ilvl w:val="1"/>
          <w:numId w:val="3"/>
        </w:numPr>
      </w:pPr>
      <w:r>
        <w:t xml:space="preserve">Yes - </w:t>
      </w:r>
      <w:r>
        <w:rPr>
          <w:u w:val="single"/>
        </w:rPr>
        <w:t>Go to 5</w:t>
      </w:r>
    </w:p>
    <w:p w14:paraId="7219A88B" w14:textId="77777777" w:rsidR="00B97531" w:rsidRDefault="00B97531" w:rsidP="00B97531">
      <w:pPr>
        <w:numPr>
          <w:ilvl w:val="1"/>
          <w:numId w:val="3"/>
        </w:numPr>
      </w:pPr>
      <w:r>
        <w:t>No - Mark ‘Exclude with reasons’ as ‘Not about Evidence use’ and click ‘Apply’.</w:t>
      </w:r>
    </w:p>
    <w:p w14:paraId="5D63E3BD" w14:textId="77777777" w:rsidR="00B97531" w:rsidRDefault="00B97531" w:rsidP="00B97531">
      <w:pPr>
        <w:numPr>
          <w:ilvl w:val="0"/>
          <w:numId w:val="3"/>
        </w:numPr>
      </w:pPr>
      <w:proofErr w:type="gramStart"/>
      <w:r>
        <w:t>Does</w:t>
      </w:r>
      <w:proofErr w:type="gramEnd"/>
      <w:r>
        <w:t xml:space="preserve"> the abstract mention factors</w:t>
      </w:r>
      <w:r>
        <w:rPr>
          <w:vertAlign w:val="superscript"/>
        </w:rPr>
        <w:footnoteReference w:id="5"/>
      </w:r>
      <w:r>
        <w:t xml:space="preserve"> that influence evidence use?</w:t>
      </w:r>
    </w:p>
    <w:p w14:paraId="5C24C49E" w14:textId="77777777" w:rsidR="00B97531" w:rsidRDefault="00B97531" w:rsidP="00B97531">
      <w:pPr>
        <w:numPr>
          <w:ilvl w:val="1"/>
          <w:numId w:val="3"/>
        </w:numPr>
      </w:pPr>
      <w:r>
        <w:lastRenderedPageBreak/>
        <w:t>Click ‘Include’</w:t>
      </w:r>
    </w:p>
    <w:p w14:paraId="0997BE03" w14:textId="77777777" w:rsidR="00B97531" w:rsidRDefault="00B97531" w:rsidP="00B97531">
      <w:pPr>
        <w:numPr>
          <w:ilvl w:val="1"/>
          <w:numId w:val="3"/>
        </w:numPr>
      </w:pPr>
      <w:r>
        <w:t>No - Mark ‘Exclude with reasons’ as ‘Not about factors that influence evidence use’ and click ‘Apply’.</w:t>
      </w:r>
    </w:p>
    <w:p w14:paraId="1D61400D" w14:textId="77777777" w:rsidR="00B97531" w:rsidRDefault="00B97531" w:rsidP="00B97531">
      <w:pPr>
        <w:rPr>
          <w:b/>
          <w:bCs/>
        </w:rPr>
      </w:pPr>
    </w:p>
    <w:p w14:paraId="36E2E6B9" w14:textId="77777777" w:rsidR="00B97531" w:rsidRDefault="00B97531" w:rsidP="00B97531">
      <w:pPr>
        <w:rPr>
          <w:sz w:val="24"/>
          <w:szCs w:val="24"/>
        </w:rPr>
      </w:pPr>
      <w:r>
        <w:rPr>
          <w:b/>
          <w:bCs/>
          <w:sz w:val="24"/>
          <w:szCs w:val="24"/>
        </w:rPr>
        <w:t>Full text screening</w:t>
      </w:r>
    </w:p>
    <w:p w14:paraId="39BA234B" w14:textId="77777777" w:rsidR="00B97531" w:rsidRDefault="00B97531" w:rsidP="00B97531">
      <w:pPr>
        <w:numPr>
          <w:ilvl w:val="0"/>
          <w:numId w:val="1"/>
        </w:numPr>
      </w:pPr>
      <w:r>
        <w:t>Can you find a pdf of the article online?</w:t>
      </w:r>
    </w:p>
    <w:p w14:paraId="34E8D727" w14:textId="77777777" w:rsidR="00B97531" w:rsidRDefault="00B97531" w:rsidP="00B97531">
      <w:pPr>
        <w:numPr>
          <w:ilvl w:val="1"/>
          <w:numId w:val="1"/>
        </w:numPr>
      </w:pPr>
      <w:r>
        <w:t xml:space="preserve">Yes - </w:t>
      </w:r>
      <w:r>
        <w:rPr>
          <w:u w:val="single"/>
        </w:rPr>
        <w:t>Go to 2</w:t>
      </w:r>
      <w:r>
        <w:t>.</w:t>
      </w:r>
    </w:p>
    <w:p w14:paraId="6392C404" w14:textId="77777777" w:rsidR="00B97531" w:rsidRDefault="00B97531" w:rsidP="00B97531">
      <w:pPr>
        <w:numPr>
          <w:ilvl w:val="1"/>
          <w:numId w:val="1"/>
        </w:numPr>
      </w:pPr>
      <w:r>
        <w:t>No - Mark ‘Exclude with reasons’ as ‘pdf not available online’</w:t>
      </w:r>
    </w:p>
    <w:p w14:paraId="1076A6EC" w14:textId="77777777" w:rsidR="00B97531" w:rsidRDefault="00B97531" w:rsidP="00B97531">
      <w:pPr>
        <w:numPr>
          <w:ilvl w:val="0"/>
          <w:numId w:val="1"/>
        </w:numPr>
      </w:pPr>
      <w:r>
        <w:t>Do you have access to the pdf online?</w:t>
      </w:r>
    </w:p>
    <w:p w14:paraId="32EE5A91" w14:textId="77777777" w:rsidR="00B97531" w:rsidRDefault="00B97531" w:rsidP="00B97531">
      <w:pPr>
        <w:numPr>
          <w:ilvl w:val="1"/>
          <w:numId w:val="1"/>
        </w:numPr>
      </w:pPr>
      <w:r>
        <w:t xml:space="preserve">Yes - Download the pdf of the article and upload it to Rayyan by clicking on the ‘Upload’ button. </w:t>
      </w:r>
      <w:r>
        <w:rPr>
          <w:u w:val="single"/>
        </w:rPr>
        <w:t>Go to 3</w:t>
      </w:r>
      <w:r>
        <w:t>.</w:t>
      </w:r>
    </w:p>
    <w:p w14:paraId="7D15344E" w14:textId="77777777" w:rsidR="00B97531" w:rsidRDefault="00B97531" w:rsidP="00B97531">
      <w:pPr>
        <w:numPr>
          <w:ilvl w:val="1"/>
          <w:numId w:val="1"/>
        </w:numPr>
      </w:pPr>
      <w:r>
        <w:t>No - Mark ‘Exclude with reasons’ as ‘pdf not accessible online’</w:t>
      </w:r>
    </w:p>
    <w:p w14:paraId="3184870D" w14:textId="77777777" w:rsidR="00B97531" w:rsidRDefault="00B97531" w:rsidP="00B97531">
      <w:pPr>
        <w:numPr>
          <w:ilvl w:val="0"/>
          <w:numId w:val="1"/>
        </w:numPr>
      </w:pPr>
      <w:r>
        <w:t>Is the full text of the article in English?</w:t>
      </w:r>
    </w:p>
    <w:p w14:paraId="443DDB29" w14:textId="77777777" w:rsidR="00B97531" w:rsidRDefault="00B97531" w:rsidP="00B97531">
      <w:pPr>
        <w:numPr>
          <w:ilvl w:val="1"/>
          <w:numId w:val="1"/>
        </w:numPr>
      </w:pPr>
      <w:r>
        <w:t xml:space="preserve">Yes - </w:t>
      </w:r>
      <w:r>
        <w:rPr>
          <w:u w:val="single"/>
        </w:rPr>
        <w:t>Go to 4</w:t>
      </w:r>
    </w:p>
    <w:p w14:paraId="140D7AC8" w14:textId="77777777" w:rsidR="00B97531" w:rsidRDefault="00B97531" w:rsidP="00B97531">
      <w:pPr>
        <w:numPr>
          <w:ilvl w:val="1"/>
          <w:numId w:val="1"/>
        </w:numPr>
      </w:pPr>
      <w:r>
        <w:t>No - Mark ‘Exclude with reasons’ as ‘Not in English’</w:t>
      </w:r>
    </w:p>
    <w:p w14:paraId="642BF7B0" w14:textId="77777777" w:rsidR="00B97531" w:rsidRDefault="00B97531" w:rsidP="00B97531">
      <w:pPr>
        <w:numPr>
          <w:ilvl w:val="0"/>
          <w:numId w:val="1"/>
        </w:numPr>
      </w:pPr>
      <w:r>
        <w:t>Is it a primary study (i.e. not an opinion piece or review of academic literature)? A primary study has to have collected information of some sort.</w:t>
      </w:r>
    </w:p>
    <w:p w14:paraId="05C9FB26" w14:textId="77777777" w:rsidR="00B97531" w:rsidRDefault="00B97531" w:rsidP="00B97531">
      <w:pPr>
        <w:numPr>
          <w:ilvl w:val="1"/>
          <w:numId w:val="1"/>
        </w:numPr>
      </w:pPr>
      <w:r>
        <w:t xml:space="preserve">Yes - </w:t>
      </w:r>
      <w:r>
        <w:rPr>
          <w:u w:val="single"/>
        </w:rPr>
        <w:t>Go to 5.</w:t>
      </w:r>
    </w:p>
    <w:p w14:paraId="30B49CF9" w14:textId="77777777" w:rsidR="00B97531" w:rsidRDefault="00B97531" w:rsidP="00B97531">
      <w:pPr>
        <w:numPr>
          <w:ilvl w:val="1"/>
          <w:numId w:val="1"/>
        </w:numPr>
      </w:pPr>
      <w:r>
        <w:t>No - Mark ‘Exclude with reasons’ as ‘Not a primary study’</w:t>
      </w:r>
    </w:p>
    <w:p w14:paraId="1BF6D0D4" w14:textId="77777777" w:rsidR="00B97531" w:rsidRDefault="00B97531" w:rsidP="00B97531">
      <w:pPr>
        <w:numPr>
          <w:ilvl w:val="0"/>
          <w:numId w:val="1"/>
        </w:numPr>
      </w:pPr>
      <w:r>
        <w:t>Does the study involve the collection or analysis of empirical data from stakeholders or decision-making contexts? This includes surveys, interviews, or workshops with stakeholders and/or documentary analysis of original policy, planning, or management documents. The stakeholders could be practitioners, policymakers, scientists, or anyone else involved in the process.</w:t>
      </w:r>
    </w:p>
    <w:p w14:paraId="66B61CB8" w14:textId="77777777" w:rsidR="00B97531" w:rsidRDefault="00B97531" w:rsidP="00B97531">
      <w:pPr>
        <w:numPr>
          <w:ilvl w:val="1"/>
          <w:numId w:val="1"/>
        </w:numPr>
      </w:pPr>
      <w:r>
        <w:t xml:space="preserve">Yes – </w:t>
      </w:r>
      <w:r>
        <w:rPr>
          <w:u w:val="single"/>
        </w:rPr>
        <w:t>Go to 6.</w:t>
      </w:r>
    </w:p>
    <w:p w14:paraId="7378B886" w14:textId="77777777" w:rsidR="00B97531" w:rsidRDefault="00B97531" w:rsidP="00B97531">
      <w:pPr>
        <w:numPr>
          <w:ilvl w:val="1"/>
          <w:numId w:val="1"/>
        </w:numPr>
      </w:pPr>
      <w:r>
        <w:t>No – Mark ‘Exclude with reasons’ as ‘Not relevant study design’.</w:t>
      </w:r>
    </w:p>
    <w:p w14:paraId="794BEC48" w14:textId="77777777" w:rsidR="00B97531" w:rsidRDefault="00B97531" w:rsidP="00B97531">
      <w:pPr>
        <w:numPr>
          <w:ilvl w:val="0"/>
          <w:numId w:val="1"/>
        </w:numPr>
      </w:pPr>
      <w:r>
        <w:t>Does the study explicitly focus on biodiversity conservation</w:t>
      </w:r>
      <w:r>
        <w:rPr>
          <w:vertAlign w:val="superscript"/>
        </w:rPr>
        <w:footnoteReference w:id="6"/>
      </w:r>
      <w:r>
        <w:t>? We can afford to be quite strict about this E.g. Studies that look at general resource management without mentioning that this relates to biodiversity should be excluded.</w:t>
      </w:r>
    </w:p>
    <w:p w14:paraId="70B46CE1" w14:textId="77777777" w:rsidR="00B97531" w:rsidRDefault="00B97531" w:rsidP="00B97531">
      <w:pPr>
        <w:numPr>
          <w:ilvl w:val="1"/>
          <w:numId w:val="1"/>
        </w:numPr>
      </w:pPr>
      <w:r>
        <w:t xml:space="preserve">Yes - </w:t>
      </w:r>
      <w:r>
        <w:rPr>
          <w:u w:val="single"/>
        </w:rPr>
        <w:t>Go to 7.</w:t>
      </w:r>
    </w:p>
    <w:p w14:paraId="54C1F523" w14:textId="77777777" w:rsidR="00B97531" w:rsidRDefault="00B97531" w:rsidP="00B97531">
      <w:pPr>
        <w:numPr>
          <w:ilvl w:val="1"/>
          <w:numId w:val="1"/>
        </w:numPr>
      </w:pPr>
      <w:r>
        <w:t>No - Mark ‘Exclude with reasons’ as ‘Not about conservation’</w:t>
      </w:r>
    </w:p>
    <w:p w14:paraId="2FE6343B" w14:textId="77777777" w:rsidR="00B97531" w:rsidRDefault="00B97531" w:rsidP="00B97531">
      <w:pPr>
        <w:numPr>
          <w:ilvl w:val="0"/>
          <w:numId w:val="1"/>
        </w:numPr>
      </w:pPr>
      <w:r>
        <w:t>Is the study about conservation policy</w:t>
      </w:r>
      <w:r>
        <w:rPr>
          <w:vertAlign w:val="superscript"/>
        </w:rPr>
        <w:footnoteReference w:id="7"/>
      </w:r>
      <w:r>
        <w:t xml:space="preserve"> or practice</w:t>
      </w:r>
      <w:r>
        <w:rPr>
          <w:vertAlign w:val="superscript"/>
        </w:rPr>
        <w:footnoteReference w:id="8"/>
      </w:r>
      <w:r>
        <w:t>? We can be a little generous about this, including anything that might relate to policy or practice.</w:t>
      </w:r>
    </w:p>
    <w:p w14:paraId="2D6E8038" w14:textId="77777777" w:rsidR="00B97531" w:rsidRDefault="00B97531" w:rsidP="00B97531">
      <w:pPr>
        <w:numPr>
          <w:ilvl w:val="1"/>
          <w:numId w:val="1"/>
        </w:numPr>
      </w:pPr>
      <w:r>
        <w:t xml:space="preserve">Yes - </w:t>
      </w:r>
      <w:r>
        <w:rPr>
          <w:u w:val="single"/>
        </w:rPr>
        <w:t>Go to 8</w:t>
      </w:r>
    </w:p>
    <w:p w14:paraId="0339B472" w14:textId="77777777" w:rsidR="00B97531" w:rsidRDefault="00B97531" w:rsidP="00B97531">
      <w:pPr>
        <w:numPr>
          <w:ilvl w:val="1"/>
          <w:numId w:val="1"/>
        </w:numPr>
      </w:pPr>
      <w:r>
        <w:t>No - Mark ‘Exclude with reasons’ as ‘Not about policy or practice’</w:t>
      </w:r>
    </w:p>
    <w:p w14:paraId="57CC338F" w14:textId="77777777" w:rsidR="00B97531" w:rsidRDefault="00B97531" w:rsidP="00B97531">
      <w:pPr>
        <w:numPr>
          <w:ilvl w:val="0"/>
          <w:numId w:val="1"/>
        </w:numPr>
      </w:pPr>
      <w:r>
        <w:lastRenderedPageBreak/>
        <w:t>Is the study about the use</w:t>
      </w:r>
      <w:r>
        <w:rPr>
          <w:vertAlign w:val="superscript"/>
        </w:rPr>
        <w:footnoteReference w:id="9"/>
      </w:r>
      <w:r>
        <w:t xml:space="preserve"> of scientific evidence</w:t>
      </w:r>
      <w:r>
        <w:rPr>
          <w:vertAlign w:val="superscript"/>
        </w:rPr>
        <w:footnoteReference w:id="10"/>
      </w:r>
      <w:r>
        <w:t xml:space="preserve"> in decision-making?</w:t>
      </w:r>
    </w:p>
    <w:p w14:paraId="4FE2CCFE" w14:textId="77777777" w:rsidR="00B97531" w:rsidRDefault="00B97531" w:rsidP="00B97531">
      <w:pPr>
        <w:numPr>
          <w:ilvl w:val="1"/>
          <w:numId w:val="1"/>
        </w:numPr>
      </w:pPr>
      <w:r>
        <w:t xml:space="preserve">Yes - </w:t>
      </w:r>
      <w:r>
        <w:rPr>
          <w:u w:val="single"/>
        </w:rPr>
        <w:t>Go to 9</w:t>
      </w:r>
    </w:p>
    <w:p w14:paraId="4ADF0729" w14:textId="77777777" w:rsidR="00B97531" w:rsidRDefault="00B97531" w:rsidP="00B97531">
      <w:pPr>
        <w:numPr>
          <w:ilvl w:val="1"/>
          <w:numId w:val="1"/>
        </w:numPr>
      </w:pPr>
      <w:r>
        <w:t xml:space="preserve">No - Mark ‘Exclude with reasons’ as ‘Not about scientific evidence </w:t>
      </w:r>
      <w:proofErr w:type="gramStart"/>
      <w:r>
        <w:t>use</w:t>
      </w:r>
      <w:proofErr w:type="gramEnd"/>
      <w:r>
        <w:t>’.</w:t>
      </w:r>
    </w:p>
    <w:p w14:paraId="69229665" w14:textId="77777777" w:rsidR="00B97531" w:rsidRDefault="00B97531" w:rsidP="00B97531">
      <w:pPr>
        <w:numPr>
          <w:ilvl w:val="0"/>
          <w:numId w:val="1"/>
        </w:numPr>
      </w:pPr>
      <w:r>
        <w:t>Does the study identify factors</w:t>
      </w:r>
      <w:r>
        <w:rPr>
          <w:vertAlign w:val="superscript"/>
        </w:rPr>
        <w:footnoteReference w:id="11"/>
      </w:r>
      <w:r>
        <w:t xml:space="preserve"> that influence scientific evidence use in conservation management and/or policy? These factors could include, but are not limited to, difficulties in understanding technical scientific language, lack of relevant evidence, lack of time to consult evidence, or lack of contact/relationship with scientists.</w:t>
      </w:r>
    </w:p>
    <w:p w14:paraId="6EF08D1C" w14:textId="77777777" w:rsidR="00B97531" w:rsidRDefault="00B97531" w:rsidP="00B97531">
      <w:pPr>
        <w:numPr>
          <w:ilvl w:val="1"/>
          <w:numId w:val="1"/>
        </w:numPr>
      </w:pPr>
      <w:r>
        <w:t xml:space="preserve">Yes - </w:t>
      </w:r>
      <w:r>
        <w:rPr>
          <w:u w:val="single"/>
        </w:rPr>
        <w:t>Click ‘Include’</w:t>
      </w:r>
    </w:p>
    <w:p w14:paraId="1D626502" w14:textId="77777777" w:rsidR="00B97531" w:rsidRDefault="00B97531" w:rsidP="00B97531">
      <w:pPr>
        <w:numPr>
          <w:ilvl w:val="1"/>
          <w:numId w:val="1"/>
        </w:numPr>
      </w:pPr>
      <w:r>
        <w:t>Mark ‘Exclude with reasons’ as ‘Not about factors that influence evidence use’</w:t>
      </w:r>
    </w:p>
    <w:p w14:paraId="62C9BEB0" w14:textId="77777777" w:rsidR="00B97531" w:rsidRDefault="00B97531" w:rsidP="00B97531">
      <w:pPr>
        <w:widowControl w:val="0"/>
        <w:rPr>
          <w:b/>
          <w:bCs/>
          <w:sz w:val="24"/>
          <w:szCs w:val="24"/>
        </w:rPr>
      </w:pPr>
    </w:p>
    <w:p w14:paraId="70A55248" w14:textId="77777777" w:rsidR="00B97531" w:rsidRDefault="00B97531" w:rsidP="00B97531">
      <w:pPr>
        <w:widowControl w:val="0"/>
        <w:rPr>
          <w:b/>
          <w:bCs/>
          <w:sz w:val="24"/>
          <w:szCs w:val="24"/>
        </w:rPr>
      </w:pPr>
      <w:r>
        <w:rPr>
          <w:b/>
          <w:bCs/>
          <w:sz w:val="24"/>
          <w:szCs w:val="24"/>
        </w:rPr>
        <w:t>Data extraction protocol</w:t>
      </w:r>
    </w:p>
    <w:p w14:paraId="11528706" w14:textId="77777777" w:rsidR="00B97531" w:rsidRDefault="00B97531" w:rsidP="00B97531">
      <w:pPr>
        <w:widowControl w:val="0"/>
        <w:rPr>
          <w:b/>
          <w:bCs/>
        </w:rPr>
      </w:pPr>
    </w:p>
    <w:p w14:paraId="2612B631" w14:textId="77777777" w:rsidR="00B97531" w:rsidRDefault="00B97531" w:rsidP="00B97531">
      <w:pPr>
        <w:widowControl w:val="0"/>
        <w:rPr>
          <w:b/>
          <w:bCs/>
        </w:rPr>
      </w:pPr>
      <w:r>
        <w:rPr>
          <w:b/>
          <w:bCs/>
        </w:rPr>
        <w:t>1. Study details</w:t>
      </w:r>
    </w:p>
    <w:p w14:paraId="36E43471" w14:textId="77777777" w:rsidR="00B97531" w:rsidRDefault="00B97531" w:rsidP="00B97531">
      <w:pPr>
        <w:widowControl w:val="0"/>
        <w:rPr>
          <w:b/>
          <w:bCs/>
        </w:rPr>
      </w:pPr>
    </w:p>
    <w:p w14:paraId="6BBCA731" w14:textId="77777777" w:rsidR="00B97531" w:rsidRDefault="00B97531" w:rsidP="00B97531">
      <w:pPr>
        <w:widowControl w:val="0"/>
      </w:pPr>
      <w:r>
        <w:t>Below is the workflow for filling out the Google form with which to extract data from the primary studies. This will ensure data extraction is relatively simple, will help to standardise inputs, and reduce errors. Tables 1 and 2 give detail about the data to be extracted and a description of each variable.</w:t>
      </w:r>
    </w:p>
    <w:p w14:paraId="3F670254" w14:textId="77777777" w:rsidR="00B97531" w:rsidRDefault="00B97531" w:rsidP="00B97531">
      <w:pPr>
        <w:widowControl w:val="0"/>
      </w:pPr>
    </w:p>
    <w:p w14:paraId="6DD13059" w14:textId="77777777" w:rsidR="00B97531" w:rsidRDefault="00B97531" w:rsidP="00B97531">
      <w:pPr>
        <w:widowControl w:val="0"/>
        <w:numPr>
          <w:ilvl w:val="0"/>
          <w:numId w:val="2"/>
        </w:numPr>
      </w:pPr>
      <w:r>
        <w:t xml:space="preserve">Add your name under the </w:t>
      </w:r>
      <w:proofErr w:type="gramStart"/>
      <w:r>
        <w:t>reviewer</w:t>
      </w:r>
      <w:proofErr w:type="gramEnd"/>
      <w:r>
        <w:t xml:space="preserve"> name field</w:t>
      </w:r>
    </w:p>
    <w:p w14:paraId="0D38AC63" w14:textId="77777777" w:rsidR="00B97531" w:rsidRDefault="00B97531" w:rsidP="00B97531">
      <w:pPr>
        <w:widowControl w:val="0"/>
        <w:numPr>
          <w:ilvl w:val="0"/>
          <w:numId w:val="2"/>
        </w:numPr>
      </w:pPr>
      <w:r>
        <w:t>Add the ‘</w:t>
      </w:r>
      <w:proofErr w:type="spellStart"/>
      <w:r>
        <w:t>rayyan</w:t>
      </w:r>
      <w:proofErr w:type="spellEnd"/>
      <w:r>
        <w:t xml:space="preserve"> key’ for the study you are extracting data for. This allows for unique identification of each study</w:t>
      </w:r>
    </w:p>
    <w:p w14:paraId="523A14BA" w14:textId="77777777" w:rsidR="00B97531" w:rsidRDefault="00B97531" w:rsidP="00B97531">
      <w:pPr>
        <w:widowControl w:val="0"/>
        <w:numPr>
          <w:ilvl w:val="0"/>
          <w:numId w:val="2"/>
        </w:numPr>
      </w:pPr>
      <w:r>
        <w:t>Enter the details of the country or countries in which the study was conducted If the study was conducted in more than one country separate these with a comma (e.g. France, Spain, UK). Where regions (e.g. South America) have been studied, enter this. If studies cover the entire world enter ‘Global’ in this field. If there are no details provided about the location of the study enter ‘No details’ in this field.</w:t>
      </w:r>
    </w:p>
    <w:p w14:paraId="1939F758" w14:textId="77777777" w:rsidR="00B97531" w:rsidRDefault="00B97531" w:rsidP="00B97531">
      <w:pPr>
        <w:widowControl w:val="0"/>
        <w:numPr>
          <w:ilvl w:val="0"/>
          <w:numId w:val="2"/>
        </w:numPr>
      </w:pPr>
      <w:r>
        <w:t xml:space="preserve">Enter the details of the Scale of the study. </w:t>
      </w:r>
      <w:proofErr w:type="gramStart"/>
      <w:r>
        <w:t>This variable captures</w:t>
      </w:r>
      <w:proofErr w:type="gramEnd"/>
      <w:r>
        <w:t xml:space="preserve"> whether the study was done at a small or large scale. This only refers to the study itself rather than the scale of decision making. Enter one of the following values:</w:t>
      </w:r>
    </w:p>
    <w:p w14:paraId="5FD2A14A" w14:textId="77777777" w:rsidR="00B97531" w:rsidRDefault="00B97531" w:rsidP="00B97531">
      <w:pPr>
        <w:widowControl w:val="0"/>
        <w:numPr>
          <w:ilvl w:val="1"/>
          <w:numId w:val="2"/>
        </w:numPr>
        <w:shd w:val="clear" w:color="auto" w:fill="FFFFFF"/>
      </w:pPr>
      <w:r>
        <w:t>Not reported: No reported scale or not clear</w:t>
      </w:r>
    </w:p>
    <w:p w14:paraId="2E82882C" w14:textId="77777777" w:rsidR="00B97531" w:rsidRDefault="00B97531" w:rsidP="00B97531">
      <w:pPr>
        <w:widowControl w:val="0"/>
        <w:numPr>
          <w:ilvl w:val="1"/>
          <w:numId w:val="2"/>
        </w:numPr>
        <w:shd w:val="clear" w:color="auto" w:fill="FFFFFF"/>
      </w:pPr>
      <w:r>
        <w:t>Single (one organisation, one municipality, one ministry).</w:t>
      </w:r>
    </w:p>
    <w:p w14:paraId="60AED63A" w14:textId="77777777" w:rsidR="00B97531" w:rsidRDefault="00B97531" w:rsidP="00B97531">
      <w:pPr>
        <w:widowControl w:val="0"/>
        <w:numPr>
          <w:ilvl w:val="1"/>
          <w:numId w:val="2"/>
        </w:numPr>
        <w:shd w:val="clear" w:color="auto" w:fill="FFFFFF"/>
      </w:pPr>
      <w:r>
        <w:t>Multi-unit (several units in the same state/region/country).</w:t>
      </w:r>
    </w:p>
    <w:p w14:paraId="2E5D4B89" w14:textId="77777777" w:rsidR="00B97531" w:rsidRDefault="00B97531" w:rsidP="00B97531">
      <w:pPr>
        <w:widowControl w:val="0"/>
        <w:numPr>
          <w:ilvl w:val="1"/>
          <w:numId w:val="2"/>
        </w:numPr>
        <w:shd w:val="clear" w:color="auto" w:fill="FFFFFF"/>
      </w:pPr>
      <w:r>
        <w:t>Multi-region within one country (several states/provinces/regions).</w:t>
      </w:r>
    </w:p>
    <w:p w14:paraId="4C277FCA" w14:textId="77777777" w:rsidR="00B97531" w:rsidRDefault="00B97531" w:rsidP="00B97531">
      <w:pPr>
        <w:widowControl w:val="0"/>
        <w:numPr>
          <w:ilvl w:val="1"/>
          <w:numId w:val="2"/>
        </w:numPr>
        <w:shd w:val="clear" w:color="auto" w:fill="FFFFFF"/>
      </w:pPr>
      <w:r>
        <w:t>Multi-country (respondents from more than one country).</w:t>
      </w:r>
    </w:p>
    <w:p w14:paraId="225E4AFE" w14:textId="77777777" w:rsidR="00B97531" w:rsidRDefault="00B97531" w:rsidP="00B97531">
      <w:pPr>
        <w:widowControl w:val="0"/>
        <w:numPr>
          <w:ilvl w:val="0"/>
          <w:numId w:val="2"/>
        </w:numPr>
        <w:shd w:val="clear" w:color="auto" w:fill="FFFFFF"/>
      </w:pPr>
      <w:r>
        <w:t>Enter information on the biome or biomes that are the focus of the study. If the biome studied is not represented enter these details</w:t>
      </w:r>
    </w:p>
    <w:p w14:paraId="166FA740" w14:textId="77777777" w:rsidR="00B97531" w:rsidRDefault="00B97531" w:rsidP="00B97531">
      <w:pPr>
        <w:widowControl w:val="0"/>
        <w:numPr>
          <w:ilvl w:val="0"/>
          <w:numId w:val="2"/>
        </w:numPr>
        <w:shd w:val="clear" w:color="auto" w:fill="FFFFFF"/>
      </w:pPr>
      <w:r>
        <w:t xml:space="preserve">Enter information on the taxonomic group or groups that are the focus of the study. If </w:t>
      </w:r>
      <w:r>
        <w:lastRenderedPageBreak/>
        <w:t>the taxonomic group studied is not represented enter these details</w:t>
      </w:r>
    </w:p>
    <w:p w14:paraId="547005D6" w14:textId="77777777" w:rsidR="00B97531" w:rsidRDefault="00B97531" w:rsidP="00B97531">
      <w:pPr>
        <w:widowControl w:val="0"/>
        <w:numPr>
          <w:ilvl w:val="0"/>
          <w:numId w:val="2"/>
        </w:numPr>
        <w:shd w:val="clear" w:color="auto" w:fill="FFFFFF"/>
      </w:pPr>
      <w:r>
        <w:t>Enter information on the conservation problem that is the focus of the study. If the conservation problem studied is not represented enter these details</w:t>
      </w:r>
    </w:p>
    <w:p w14:paraId="689CB66F" w14:textId="77777777" w:rsidR="00B97531" w:rsidRDefault="00B97531" w:rsidP="00B97531">
      <w:pPr>
        <w:widowControl w:val="0"/>
        <w:numPr>
          <w:ilvl w:val="0"/>
          <w:numId w:val="2"/>
        </w:numPr>
        <w:shd w:val="clear" w:color="auto" w:fill="FFFFFF"/>
      </w:pPr>
      <w:r>
        <w:t>Enter a description of the type of decision that is the focus of the study. This could include things like protected area management, fisheries management, or forest restoration planning. If there are no details about this enter ‘No details’ in this field.</w:t>
      </w:r>
    </w:p>
    <w:p w14:paraId="5F0FBC67" w14:textId="77777777" w:rsidR="00B97531" w:rsidRDefault="00B97531" w:rsidP="00B97531">
      <w:pPr>
        <w:widowControl w:val="0"/>
        <w:numPr>
          <w:ilvl w:val="0"/>
          <w:numId w:val="2"/>
        </w:numPr>
        <w:shd w:val="clear" w:color="auto" w:fill="FFFFFF"/>
      </w:pPr>
      <w:r>
        <w:t>Enter the details of the stakeholder populations which were the focus of the study. If the type of stakeholder is not listed then enter this detail.</w:t>
      </w:r>
    </w:p>
    <w:p w14:paraId="79BBB3D3" w14:textId="77777777" w:rsidR="00B97531" w:rsidRDefault="00B97531" w:rsidP="00B97531">
      <w:pPr>
        <w:widowControl w:val="0"/>
        <w:numPr>
          <w:ilvl w:val="0"/>
          <w:numId w:val="2"/>
        </w:numPr>
        <w:shd w:val="clear" w:color="auto" w:fill="FFFFFF"/>
      </w:pPr>
      <w:r>
        <w:t>Enter details of the type of organisations studied, these can include:</w:t>
      </w:r>
    </w:p>
    <w:p w14:paraId="30EEA1E2" w14:textId="77777777" w:rsidR="00B97531" w:rsidRDefault="00B97531" w:rsidP="00B97531">
      <w:pPr>
        <w:widowControl w:val="0"/>
        <w:numPr>
          <w:ilvl w:val="1"/>
          <w:numId w:val="2"/>
        </w:numPr>
        <w:shd w:val="clear" w:color="auto" w:fill="FFFFFF"/>
      </w:pPr>
      <w:r>
        <w:t>Government/statutory bodies</w:t>
      </w:r>
    </w:p>
    <w:p w14:paraId="4DC53B3C" w14:textId="77777777" w:rsidR="00B97531" w:rsidRDefault="00B97531" w:rsidP="00B97531">
      <w:pPr>
        <w:widowControl w:val="0"/>
        <w:numPr>
          <w:ilvl w:val="1"/>
          <w:numId w:val="2"/>
        </w:numPr>
        <w:shd w:val="clear" w:color="auto" w:fill="FFFFFF"/>
      </w:pPr>
      <w:r>
        <w:t>NGOs/non-profits</w:t>
      </w:r>
    </w:p>
    <w:p w14:paraId="227E485D" w14:textId="77777777" w:rsidR="00B97531" w:rsidRDefault="00B97531" w:rsidP="00B97531">
      <w:pPr>
        <w:widowControl w:val="0"/>
        <w:numPr>
          <w:ilvl w:val="1"/>
          <w:numId w:val="2"/>
        </w:numPr>
        <w:shd w:val="clear" w:color="auto" w:fill="FFFFFF"/>
      </w:pPr>
      <w:r>
        <w:t>Community/local organisations</w:t>
      </w:r>
    </w:p>
    <w:p w14:paraId="61AAC9E9" w14:textId="77777777" w:rsidR="00B97531" w:rsidRDefault="00B97531" w:rsidP="00B97531">
      <w:pPr>
        <w:widowControl w:val="0"/>
        <w:numPr>
          <w:ilvl w:val="1"/>
          <w:numId w:val="2"/>
        </w:numPr>
        <w:shd w:val="clear" w:color="auto" w:fill="FFFFFF"/>
      </w:pPr>
      <w:r>
        <w:t>Intergovernmental organisations</w:t>
      </w:r>
    </w:p>
    <w:p w14:paraId="7010DD56" w14:textId="77777777" w:rsidR="00B97531" w:rsidRDefault="00B97531" w:rsidP="00B97531">
      <w:pPr>
        <w:widowControl w:val="0"/>
        <w:numPr>
          <w:ilvl w:val="1"/>
          <w:numId w:val="2"/>
        </w:numPr>
        <w:shd w:val="clear" w:color="auto" w:fill="FFFFFF"/>
      </w:pPr>
      <w:r>
        <w:t>Private sector</w:t>
      </w:r>
    </w:p>
    <w:p w14:paraId="52082972" w14:textId="77777777" w:rsidR="00B97531" w:rsidRDefault="00B97531" w:rsidP="00B97531">
      <w:pPr>
        <w:widowControl w:val="0"/>
        <w:numPr>
          <w:ilvl w:val="1"/>
          <w:numId w:val="2"/>
        </w:numPr>
        <w:shd w:val="clear" w:color="auto" w:fill="FFFFFF"/>
      </w:pPr>
      <w:r>
        <w:t>Academic institution</w:t>
      </w:r>
    </w:p>
    <w:p w14:paraId="1E2AE856" w14:textId="77777777" w:rsidR="00B97531" w:rsidRDefault="00B97531" w:rsidP="00B97531">
      <w:pPr>
        <w:widowControl w:val="0"/>
        <w:numPr>
          <w:ilvl w:val="1"/>
          <w:numId w:val="2"/>
        </w:numPr>
        <w:shd w:val="clear" w:color="auto" w:fill="FFFFFF"/>
      </w:pPr>
      <w:r>
        <w:t>Other - enter details</w:t>
      </w:r>
    </w:p>
    <w:p w14:paraId="6F1FF0A0" w14:textId="77777777" w:rsidR="00B97531" w:rsidRDefault="00B97531" w:rsidP="00B97531">
      <w:pPr>
        <w:widowControl w:val="0"/>
        <w:numPr>
          <w:ilvl w:val="0"/>
          <w:numId w:val="2"/>
        </w:numPr>
        <w:shd w:val="clear" w:color="auto" w:fill="FFFFFF"/>
      </w:pPr>
      <w:r>
        <w:t>Enter details of the scale of decision-making, this can include:</w:t>
      </w:r>
    </w:p>
    <w:p w14:paraId="375F0B9C" w14:textId="77777777" w:rsidR="00B97531" w:rsidRDefault="00B97531" w:rsidP="00B97531">
      <w:pPr>
        <w:widowControl w:val="0"/>
        <w:numPr>
          <w:ilvl w:val="1"/>
          <w:numId w:val="2"/>
        </w:numPr>
        <w:shd w:val="clear" w:color="auto" w:fill="FFFFFF"/>
      </w:pPr>
      <w:r>
        <w:rPr>
          <w:highlight w:val="white"/>
        </w:rPr>
        <w:t>Local: local/municipal government site-level managers;</w:t>
      </w:r>
    </w:p>
    <w:p w14:paraId="544D1F49" w14:textId="77777777" w:rsidR="00B97531" w:rsidRDefault="00B97531" w:rsidP="00B97531">
      <w:pPr>
        <w:widowControl w:val="0"/>
        <w:numPr>
          <w:ilvl w:val="1"/>
          <w:numId w:val="2"/>
        </w:numPr>
        <w:shd w:val="clear" w:color="auto" w:fill="FFFFFF"/>
      </w:pPr>
      <w:r>
        <w:rPr>
          <w:highlight w:val="white"/>
        </w:rPr>
        <w:t>Regional: States/provinces</w:t>
      </w:r>
    </w:p>
    <w:p w14:paraId="2DB61587" w14:textId="77777777" w:rsidR="00B97531" w:rsidRDefault="00B97531" w:rsidP="00B97531">
      <w:pPr>
        <w:widowControl w:val="0"/>
        <w:numPr>
          <w:ilvl w:val="1"/>
          <w:numId w:val="2"/>
        </w:numPr>
        <w:shd w:val="clear" w:color="auto" w:fill="FFFFFF"/>
      </w:pPr>
      <w:r>
        <w:rPr>
          <w:highlight w:val="white"/>
        </w:rPr>
        <w:t>National: country level NGOs or government departments</w:t>
      </w:r>
    </w:p>
    <w:p w14:paraId="3D64A5FF" w14:textId="77777777" w:rsidR="00B97531" w:rsidRDefault="00B97531" w:rsidP="00B97531">
      <w:pPr>
        <w:widowControl w:val="0"/>
        <w:numPr>
          <w:ilvl w:val="1"/>
          <w:numId w:val="2"/>
        </w:numPr>
        <w:shd w:val="clear" w:color="auto" w:fill="FFFFFF"/>
      </w:pPr>
      <w:r>
        <w:rPr>
          <w:highlight w:val="white"/>
        </w:rPr>
        <w:t>International: Intergovernmental bodies, multinational NGOs</w:t>
      </w:r>
    </w:p>
    <w:p w14:paraId="59410C30" w14:textId="77777777" w:rsidR="00B97531" w:rsidRDefault="00B97531" w:rsidP="00B97531">
      <w:pPr>
        <w:widowControl w:val="0"/>
        <w:numPr>
          <w:ilvl w:val="0"/>
          <w:numId w:val="2"/>
        </w:numPr>
        <w:shd w:val="clear" w:color="auto" w:fill="FFFFFF"/>
        <w:rPr>
          <w:highlight w:val="white"/>
        </w:rPr>
      </w:pPr>
      <w:r>
        <w:rPr>
          <w:highlight w:val="white"/>
        </w:rPr>
        <w:t xml:space="preserve">Enter details of the type of scientific evidence related to the decision-making that was investigated. If no information is provided on this select ‘No description provided’. If the type of evidence investigated is not in the options provided enter this information under the ‘Other’ option. Here we refer to ‘Peer-reviewed studies’ as scientific studies of any sort that have been through a peer-reviewed process and are published in some format. ‘Research data’ refers to the data generated by scientific research which may be of interest to decision-makers. ‘Decision-making tools’ refers to tools that aid with this </w:t>
      </w:r>
      <w:proofErr w:type="gramStart"/>
      <w:r>
        <w:rPr>
          <w:highlight w:val="white"/>
        </w:rPr>
        <w:t>decision making</w:t>
      </w:r>
      <w:proofErr w:type="gramEnd"/>
      <w:r>
        <w:rPr>
          <w:highlight w:val="white"/>
        </w:rPr>
        <w:t xml:space="preserve"> process that are based on scientific evidence of some form.</w:t>
      </w:r>
    </w:p>
    <w:p w14:paraId="2F7D8480" w14:textId="77777777" w:rsidR="00B97531" w:rsidRDefault="00B97531" w:rsidP="00B97531">
      <w:pPr>
        <w:widowControl w:val="0"/>
        <w:numPr>
          <w:ilvl w:val="0"/>
          <w:numId w:val="2"/>
        </w:numPr>
        <w:shd w:val="clear" w:color="auto" w:fill="FFFFFF"/>
        <w:rPr>
          <w:highlight w:val="white"/>
        </w:rPr>
      </w:pPr>
      <w:r>
        <w:rPr>
          <w:highlight w:val="white"/>
        </w:rPr>
        <w:t>Enter details on the discipline represented by the scientific evidence which is being used by stakeholders. If there are no details of this enter ‘Not mentioned’. Here ‘Natural sciences’ refers to science that investigates the physical world such as biology, geology, chemistry or physics. ‘Social sciences’ refers to science that investigates human societies, relationships, and culture, such as sociology, psychology, economics, anthropology, and political science.</w:t>
      </w:r>
    </w:p>
    <w:p w14:paraId="7D50EE06" w14:textId="77777777" w:rsidR="00B97531" w:rsidRDefault="00B97531" w:rsidP="00B97531">
      <w:pPr>
        <w:widowControl w:val="0"/>
        <w:numPr>
          <w:ilvl w:val="0"/>
          <w:numId w:val="2"/>
        </w:numPr>
        <w:shd w:val="clear" w:color="auto" w:fill="FFFFFF"/>
        <w:rPr>
          <w:highlight w:val="white"/>
        </w:rPr>
      </w:pPr>
      <w:r>
        <w:rPr>
          <w:highlight w:val="white"/>
        </w:rPr>
        <w:t>Enter details on the study design used to collect information on factors influencing evidence use, such as surveys, interviews, focus groups, workshops, and documentary analysis.</w:t>
      </w:r>
    </w:p>
    <w:p w14:paraId="24C85FFB" w14:textId="77777777" w:rsidR="00B97531" w:rsidRDefault="00B97531" w:rsidP="00B97531">
      <w:pPr>
        <w:widowControl w:val="0"/>
        <w:numPr>
          <w:ilvl w:val="0"/>
          <w:numId w:val="2"/>
        </w:numPr>
        <w:shd w:val="clear" w:color="auto" w:fill="FFFFFF"/>
        <w:rPr>
          <w:highlight w:val="white"/>
        </w:rPr>
      </w:pPr>
      <w:r>
        <w:rPr>
          <w:highlight w:val="white"/>
        </w:rPr>
        <w:t xml:space="preserve">Enter details on the data collected by researchers </w:t>
      </w:r>
      <w:proofErr w:type="gramStart"/>
      <w:r>
        <w:rPr>
          <w:highlight w:val="white"/>
        </w:rPr>
        <w:t>such  as</w:t>
      </w:r>
      <w:proofErr w:type="gramEnd"/>
      <w:r>
        <w:rPr>
          <w:highlight w:val="white"/>
        </w:rPr>
        <w:t xml:space="preserve"> stakeholder perceptions, document-based information, or mixed data.</w:t>
      </w:r>
    </w:p>
    <w:p w14:paraId="3616E724" w14:textId="77777777" w:rsidR="00B97531" w:rsidRDefault="00B97531" w:rsidP="00B97531">
      <w:pPr>
        <w:widowControl w:val="0"/>
        <w:shd w:val="clear" w:color="auto" w:fill="FFFFFF"/>
        <w:rPr>
          <w:highlight w:val="white"/>
        </w:rPr>
      </w:pPr>
    </w:p>
    <w:p w14:paraId="27AE2A72" w14:textId="77777777" w:rsidR="00B97531" w:rsidRDefault="00B97531" w:rsidP="00B97531">
      <w:pPr>
        <w:widowControl w:val="0"/>
        <w:shd w:val="clear" w:color="auto" w:fill="FFFFFF"/>
        <w:rPr>
          <w:b/>
          <w:bCs/>
          <w:highlight w:val="white"/>
        </w:rPr>
      </w:pPr>
      <w:r>
        <w:rPr>
          <w:b/>
          <w:bCs/>
          <w:highlight w:val="white"/>
        </w:rPr>
        <w:t>Factors affecting evidence use</w:t>
      </w:r>
    </w:p>
    <w:p w14:paraId="5F9F0D23" w14:textId="77777777" w:rsidR="00B97531" w:rsidRDefault="00B97531" w:rsidP="00B97531">
      <w:pPr>
        <w:widowControl w:val="0"/>
        <w:shd w:val="clear" w:color="auto" w:fill="FFFFFF"/>
        <w:rPr>
          <w:highlight w:val="white"/>
        </w:rPr>
      </w:pPr>
    </w:p>
    <w:p w14:paraId="73C7DA9E" w14:textId="77777777" w:rsidR="00B97531" w:rsidRDefault="00B97531" w:rsidP="00B97531">
      <w:pPr>
        <w:widowControl w:val="0"/>
        <w:numPr>
          <w:ilvl w:val="0"/>
          <w:numId w:val="2"/>
        </w:numPr>
        <w:shd w:val="clear" w:color="auto" w:fill="FFFFFF"/>
        <w:rPr>
          <w:highlight w:val="white"/>
        </w:rPr>
      </w:pPr>
      <w:r>
        <w:rPr>
          <w:highlight w:val="white"/>
        </w:rPr>
        <w:t xml:space="preserve">Enter data on the factors influencing evidence use. These could be factors that positively influence scientific evidence use (e.g. good relationships between researchers and practitioners) or negatively influence scientific evidence use (e.g. a lack of relationships between researchers and practitioners). In this study we make </w:t>
      </w:r>
      <w:r>
        <w:rPr>
          <w:highlight w:val="white"/>
        </w:rPr>
        <w:lastRenderedPageBreak/>
        <w:t>no distinction between whether these factors were barriers or facilitators. Refer to Table 2 for a detailed description of these factors.</w:t>
      </w:r>
    </w:p>
    <w:p w14:paraId="551AD69C" w14:textId="77777777" w:rsidR="00B97531" w:rsidRDefault="00B97531" w:rsidP="00B97531">
      <w:pPr>
        <w:widowControl w:val="0"/>
        <w:numPr>
          <w:ilvl w:val="0"/>
          <w:numId w:val="2"/>
        </w:numPr>
        <w:shd w:val="clear" w:color="auto" w:fill="FFFFFF"/>
        <w:rPr>
          <w:highlight w:val="white"/>
        </w:rPr>
      </w:pPr>
      <w:r>
        <w:rPr>
          <w:highlight w:val="white"/>
        </w:rPr>
        <w:t>Click submit and start extracting data for the next study</w:t>
      </w:r>
    </w:p>
    <w:p w14:paraId="01A7F837" w14:textId="77777777" w:rsidR="00B97531" w:rsidRDefault="00B97531" w:rsidP="00B97531">
      <w:pPr>
        <w:widowControl w:val="0"/>
        <w:shd w:val="clear" w:color="auto" w:fill="FFFFFF"/>
        <w:rPr>
          <w:highlight w:val="white"/>
        </w:rPr>
      </w:pPr>
    </w:p>
    <w:p w14:paraId="23EA0BC8" w14:textId="77777777" w:rsidR="00B97531" w:rsidRDefault="00B97531" w:rsidP="00B97531">
      <w:pPr>
        <w:widowControl w:val="0"/>
        <w:shd w:val="clear" w:color="auto" w:fill="FFFFFF"/>
        <w:rPr>
          <w:highlight w:val="white"/>
        </w:rPr>
      </w:pPr>
      <w:r>
        <w:br w:type="page"/>
      </w:r>
    </w:p>
    <w:p w14:paraId="64D2BB2A" w14:textId="77777777" w:rsidR="00B97531" w:rsidRDefault="00B97531" w:rsidP="00B97531">
      <w:pPr>
        <w:widowControl w:val="0"/>
        <w:shd w:val="clear" w:color="auto" w:fill="FFFFFF"/>
        <w:rPr>
          <w:highlight w:val="white"/>
        </w:rPr>
      </w:pPr>
      <w:r>
        <w:rPr>
          <w:b/>
          <w:bCs/>
          <w:highlight w:val="white"/>
        </w:rPr>
        <w:lastRenderedPageBreak/>
        <w:t>Table S1</w:t>
      </w:r>
      <w:r>
        <w:rPr>
          <w:highlight w:val="white"/>
        </w:rPr>
        <w:t xml:space="preserve"> - Benchmark studies used in the design of search strings</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5"/>
        <w:gridCol w:w="735"/>
        <w:gridCol w:w="3015"/>
        <w:gridCol w:w="1695"/>
        <w:gridCol w:w="1710"/>
      </w:tblGrid>
      <w:tr w:rsidR="00B97531" w14:paraId="7974B212" w14:textId="77777777" w:rsidTr="00FE3783">
        <w:tc>
          <w:tcPr>
            <w:tcW w:w="1845" w:type="dxa"/>
            <w:shd w:val="clear" w:color="auto" w:fill="auto"/>
            <w:tcMar>
              <w:top w:w="28" w:type="dxa"/>
              <w:left w:w="28" w:type="dxa"/>
              <w:bottom w:w="28" w:type="dxa"/>
              <w:right w:w="28" w:type="dxa"/>
            </w:tcMar>
          </w:tcPr>
          <w:p w14:paraId="036338DA" w14:textId="77777777" w:rsidR="00B97531" w:rsidRDefault="00B97531" w:rsidP="00FE3783">
            <w:pPr>
              <w:widowControl w:val="0"/>
              <w:spacing w:line="240" w:lineRule="auto"/>
              <w:rPr>
                <w:b/>
                <w:bCs/>
                <w:highlight w:val="white"/>
              </w:rPr>
            </w:pPr>
            <w:r>
              <w:rPr>
                <w:b/>
                <w:bCs/>
                <w:highlight w:val="white"/>
              </w:rPr>
              <w:t>Author</w:t>
            </w:r>
          </w:p>
        </w:tc>
        <w:tc>
          <w:tcPr>
            <w:tcW w:w="735" w:type="dxa"/>
            <w:shd w:val="clear" w:color="auto" w:fill="auto"/>
            <w:tcMar>
              <w:top w:w="28" w:type="dxa"/>
              <w:left w:w="28" w:type="dxa"/>
              <w:bottom w:w="28" w:type="dxa"/>
              <w:right w:w="28" w:type="dxa"/>
            </w:tcMar>
          </w:tcPr>
          <w:p w14:paraId="1088C549" w14:textId="77777777" w:rsidR="00B97531" w:rsidRDefault="00B97531" w:rsidP="00FE3783">
            <w:pPr>
              <w:widowControl w:val="0"/>
              <w:spacing w:line="240" w:lineRule="auto"/>
              <w:rPr>
                <w:b/>
                <w:bCs/>
                <w:highlight w:val="white"/>
              </w:rPr>
            </w:pPr>
            <w:r>
              <w:rPr>
                <w:b/>
                <w:bCs/>
                <w:highlight w:val="white"/>
              </w:rPr>
              <w:t>Year</w:t>
            </w:r>
          </w:p>
        </w:tc>
        <w:tc>
          <w:tcPr>
            <w:tcW w:w="3015" w:type="dxa"/>
            <w:shd w:val="clear" w:color="auto" w:fill="auto"/>
            <w:tcMar>
              <w:top w:w="28" w:type="dxa"/>
              <w:left w:w="28" w:type="dxa"/>
              <w:bottom w:w="28" w:type="dxa"/>
              <w:right w:w="28" w:type="dxa"/>
            </w:tcMar>
          </w:tcPr>
          <w:p w14:paraId="6A053CEF" w14:textId="77777777" w:rsidR="00B97531" w:rsidRDefault="00B97531" w:rsidP="00FE3783">
            <w:pPr>
              <w:widowControl w:val="0"/>
              <w:spacing w:line="240" w:lineRule="auto"/>
              <w:rPr>
                <w:b/>
                <w:bCs/>
                <w:highlight w:val="white"/>
              </w:rPr>
            </w:pPr>
            <w:r>
              <w:rPr>
                <w:b/>
                <w:bCs/>
                <w:highlight w:val="white"/>
              </w:rPr>
              <w:t>Title</w:t>
            </w:r>
          </w:p>
        </w:tc>
        <w:tc>
          <w:tcPr>
            <w:tcW w:w="1695" w:type="dxa"/>
            <w:shd w:val="clear" w:color="auto" w:fill="auto"/>
            <w:tcMar>
              <w:top w:w="28" w:type="dxa"/>
              <w:left w:w="28" w:type="dxa"/>
              <w:bottom w:w="28" w:type="dxa"/>
              <w:right w:w="28" w:type="dxa"/>
            </w:tcMar>
          </w:tcPr>
          <w:p w14:paraId="65FF9E99" w14:textId="77777777" w:rsidR="00B97531" w:rsidRDefault="00B97531" w:rsidP="00FE3783">
            <w:pPr>
              <w:widowControl w:val="0"/>
              <w:spacing w:line="240" w:lineRule="auto"/>
              <w:rPr>
                <w:b/>
                <w:bCs/>
                <w:highlight w:val="white"/>
              </w:rPr>
            </w:pPr>
            <w:r>
              <w:rPr>
                <w:b/>
                <w:bCs/>
                <w:highlight w:val="white"/>
              </w:rPr>
              <w:t>Journal</w:t>
            </w:r>
          </w:p>
        </w:tc>
        <w:tc>
          <w:tcPr>
            <w:tcW w:w="1710" w:type="dxa"/>
            <w:shd w:val="clear" w:color="auto" w:fill="auto"/>
            <w:tcMar>
              <w:top w:w="28" w:type="dxa"/>
              <w:left w:w="28" w:type="dxa"/>
              <w:bottom w:w="28" w:type="dxa"/>
              <w:right w:w="28" w:type="dxa"/>
            </w:tcMar>
          </w:tcPr>
          <w:p w14:paraId="1A744480" w14:textId="77777777" w:rsidR="00B97531" w:rsidRDefault="00B97531" w:rsidP="00FE3783">
            <w:pPr>
              <w:widowControl w:val="0"/>
              <w:spacing w:line="240" w:lineRule="auto"/>
              <w:rPr>
                <w:b/>
                <w:bCs/>
                <w:highlight w:val="white"/>
              </w:rPr>
            </w:pPr>
            <w:proofErr w:type="spellStart"/>
            <w:r>
              <w:rPr>
                <w:b/>
                <w:bCs/>
                <w:highlight w:val="white"/>
              </w:rPr>
              <w:t>doi</w:t>
            </w:r>
            <w:proofErr w:type="spellEnd"/>
          </w:p>
        </w:tc>
      </w:tr>
      <w:tr w:rsidR="00B97531" w14:paraId="36FBFED3" w14:textId="77777777" w:rsidTr="00FE3783">
        <w:tc>
          <w:tcPr>
            <w:tcW w:w="1845" w:type="dxa"/>
            <w:shd w:val="clear" w:color="auto" w:fill="auto"/>
            <w:tcMar>
              <w:top w:w="28" w:type="dxa"/>
              <w:left w:w="28" w:type="dxa"/>
              <w:bottom w:w="28" w:type="dxa"/>
              <w:right w:w="28" w:type="dxa"/>
            </w:tcMar>
          </w:tcPr>
          <w:p w14:paraId="0CE05900" w14:textId="77777777" w:rsidR="00B97531" w:rsidRDefault="00B97531" w:rsidP="00FE3783">
            <w:pPr>
              <w:widowControl w:val="0"/>
              <w:spacing w:line="240" w:lineRule="auto"/>
              <w:rPr>
                <w:highlight w:val="white"/>
              </w:rPr>
            </w:pPr>
            <w:r>
              <w:rPr>
                <w:highlight w:val="white"/>
              </w:rPr>
              <w:t>Walsh et al.</w:t>
            </w:r>
          </w:p>
        </w:tc>
        <w:tc>
          <w:tcPr>
            <w:tcW w:w="735" w:type="dxa"/>
            <w:shd w:val="clear" w:color="auto" w:fill="auto"/>
            <w:tcMar>
              <w:top w:w="28" w:type="dxa"/>
              <w:left w:w="28" w:type="dxa"/>
              <w:bottom w:w="28" w:type="dxa"/>
              <w:right w:w="28" w:type="dxa"/>
            </w:tcMar>
          </w:tcPr>
          <w:p w14:paraId="15C2FD3D" w14:textId="77777777" w:rsidR="00B97531" w:rsidRDefault="00B97531" w:rsidP="00FE3783">
            <w:pPr>
              <w:widowControl w:val="0"/>
              <w:spacing w:line="240" w:lineRule="auto"/>
              <w:rPr>
                <w:highlight w:val="white"/>
              </w:rPr>
            </w:pPr>
            <w:r>
              <w:rPr>
                <w:highlight w:val="white"/>
              </w:rPr>
              <w:t>2019</w:t>
            </w:r>
          </w:p>
        </w:tc>
        <w:tc>
          <w:tcPr>
            <w:tcW w:w="3015" w:type="dxa"/>
            <w:shd w:val="clear" w:color="auto" w:fill="auto"/>
            <w:tcMar>
              <w:top w:w="28" w:type="dxa"/>
              <w:left w:w="28" w:type="dxa"/>
              <w:bottom w:w="28" w:type="dxa"/>
              <w:right w:w="28" w:type="dxa"/>
            </w:tcMar>
          </w:tcPr>
          <w:p w14:paraId="7479D563" w14:textId="77777777" w:rsidR="00B97531" w:rsidRDefault="00B97531" w:rsidP="00FE3783">
            <w:pPr>
              <w:widowControl w:val="0"/>
              <w:spacing w:line="240" w:lineRule="auto"/>
              <w:rPr>
                <w:highlight w:val="white"/>
              </w:rPr>
            </w:pPr>
            <w:r>
              <w:rPr>
                <w:highlight w:val="white"/>
              </w:rPr>
              <w:t xml:space="preserve">A typology of barriers and enablers of scientific evidence use in conservation practice. </w:t>
            </w:r>
          </w:p>
        </w:tc>
        <w:tc>
          <w:tcPr>
            <w:tcW w:w="1695" w:type="dxa"/>
            <w:shd w:val="clear" w:color="auto" w:fill="auto"/>
            <w:tcMar>
              <w:top w:w="28" w:type="dxa"/>
              <w:left w:w="28" w:type="dxa"/>
              <w:bottom w:w="28" w:type="dxa"/>
              <w:right w:w="28" w:type="dxa"/>
            </w:tcMar>
          </w:tcPr>
          <w:p w14:paraId="00FC3B11" w14:textId="77777777" w:rsidR="00B97531" w:rsidRDefault="00B97531" w:rsidP="00FE3783">
            <w:pPr>
              <w:widowControl w:val="0"/>
              <w:spacing w:line="240" w:lineRule="auto"/>
              <w:rPr>
                <w:highlight w:val="white"/>
              </w:rPr>
            </w:pPr>
            <w:r>
              <w:rPr>
                <w:i/>
                <w:iCs/>
                <w:highlight w:val="white"/>
              </w:rPr>
              <w:t>Journal of Environmental Management</w:t>
            </w:r>
          </w:p>
        </w:tc>
        <w:tc>
          <w:tcPr>
            <w:tcW w:w="1710" w:type="dxa"/>
            <w:shd w:val="clear" w:color="auto" w:fill="auto"/>
            <w:tcMar>
              <w:top w:w="28" w:type="dxa"/>
              <w:left w:w="28" w:type="dxa"/>
              <w:bottom w:w="28" w:type="dxa"/>
              <w:right w:w="28" w:type="dxa"/>
            </w:tcMar>
          </w:tcPr>
          <w:p w14:paraId="6772B7A4" w14:textId="77777777" w:rsidR="00B97531" w:rsidRDefault="00B97531" w:rsidP="00FE3783">
            <w:pPr>
              <w:widowControl w:val="0"/>
              <w:spacing w:line="240" w:lineRule="auto"/>
              <w:rPr>
                <w:highlight w:val="white"/>
              </w:rPr>
            </w:pPr>
            <w:r>
              <w:rPr>
                <w:highlight w:val="white"/>
              </w:rPr>
              <w:t>https://doi.org/10.1016/j.jenvman.2019.109481</w:t>
            </w:r>
          </w:p>
        </w:tc>
      </w:tr>
      <w:tr w:rsidR="00B97531" w14:paraId="3329EA31" w14:textId="77777777" w:rsidTr="00FE3783">
        <w:tc>
          <w:tcPr>
            <w:tcW w:w="1845" w:type="dxa"/>
            <w:shd w:val="clear" w:color="auto" w:fill="auto"/>
            <w:tcMar>
              <w:top w:w="28" w:type="dxa"/>
              <w:left w:w="28" w:type="dxa"/>
              <w:bottom w:w="28" w:type="dxa"/>
              <w:right w:w="28" w:type="dxa"/>
            </w:tcMar>
          </w:tcPr>
          <w:p w14:paraId="7C6BA756" w14:textId="77777777" w:rsidR="00B97531" w:rsidRDefault="00B97531" w:rsidP="00FE3783">
            <w:pPr>
              <w:widowControl w:val="0"/>
              <w:spacing w:line="240" w:lineRule="auto"/>
              <w:rPr>
                <w:highlight w:val="white"/>
              </w:rPr>
            </w:pPr>
            <w:r>
              <w:rPr>
                <w:highlight w:val="white"/>
              </w:rPr>
              <w:t>Lemieux et al.</w:t>
            </w:r>
          </w:p>
        </w:tc>
        <w:tc>
          <w:tcPr>
            <w:tcW w:w="735" w:type="dxa"/>
            <w:shd w:val="clear" w:color="auto" w:fill="auto"/>
            <w:tcMar>
              <w:top w:w="28" w:type="dxa"/>
              <w:left w:w="28" w:type="dxa"/>
              <w:bottom w:w="28" w:type="dxa"/>
              <w:right w:w="28" w:type="dxa"/>
            </w:tcMar>
          </w:tcPr>
          <w:p w14:paraId="48FF8168" w14:textId="77777777" w:rsidR="00B97531" w:rsidRDefault="00B97531" w:rsidP="00FE3783">
            <w:pPr>
              <w:widowControl w:val="0"/>
              <w:spacing w:line="240" w:lineRule="auto"/>
              <w:rPr>
                <w:highlight w:val="white"/>
              </w:rPr>
            </w:pPr>
            <w:r>
              <w:rPr>
                <w:highlight w:val="white"/>
              </w:rPr>
              <w:t>2018</w:t>
            </w:r>
          </w:p>
        </w:tc>
        <w:tc>
          <w:tcPr>
            <w:tcW w:w="3015" w:type="dxa"/>
            <w:shd w:val="clear" w:color="auto" w:fill="auto"/>
            <w:tcMar>
              <w:top w:w="28" w:type="dxa"/>
              <w:left w:w="28" w:type="dxa"/>
              <w:bottom w:w="28" w:type="dxa"/>
              <w:right w:w="28" w:type="dxa"/>
            </w:tcMar>
          </w:tcPr>
          <w:p w14:paraId="0D1453AB" w14:textId="77777777" w:rsidR="00B97531" w:rsidRDefault="00B97531" w:rsidP="00FE3783">
            <w:pPr>
              <w:widowControl w:val="0"/>
              <w:spacing w:line="240" w:lineRule="auto"/>
              <w:rPr>
                <w:highlight w:val="white"/>
              </w:rPr>
            </w:pPr>
            <w:r>
              <w:rPr>
                <w:highlight w:val="white"/>
              </w:rPr>
              <w:t>Evidence-based decision-making in Canada’s protected areas organizations: Implications for management effectiveness.</w:t>
            </w:r>
          </w:p>
        </w:tc>
        <w:tc>
          <w:tcPr>
            <w:tcW w:w="1695" w:type="dxa"/>
            <w:shd w:val="clear" w:color="auto" w:fill="auto"/>
            <w:tcMar>
              <w:top w:w="28" w:type="dxa"/>
              <w:left w:w="28" w:type="dxa"/>
              <w:bottom w:w="28" w:type="dxa"/>
              <w:right w:w="28" w:type="dxa"/>
            </w:tcMar>
          </w:tcPr>
          <w:p w14:paraId="5FDA7546" w14:textId="77777777" w:rsidR="00B97531" w:rsidRDefault="00B97531" w:rsidP="00FE3783">
            <w:pPr>
              <w:widowControl w:val="0"/>
              <w:spacing w:line="240" w:lineRule="auto"/>
              <w:rPr>
                <w:highlight w:val="white"/>
              </w:rPr>
            </w:pPr>
            <w:r>
              <w:rPr>
                <w:i/>
                <w:iCs/>
                <w:highlight w:val="white"/>
              </w:rPr>
              <w:t>FACETS</w:t>
            </w:r>
          </w:p>
        </w:tc>
        <w:tc>
          <w:tcPr>
            <w:tcW w:w="1710" w:type="dxa"/>
            <w:shd w:val="clear" w:color="auto" w:fill="auto"/>
            <w:tcMar>
              <w:top w:w="28" w:type="dxa"/>
              <w:left w:w="28" w:type="dxa"/>
              <w:bottom w:w="28" w:type="dxa"/>
              <w:right w:w="28" w:type="dxa"/>
            </w:tcMar>
          </w:tcPr>
          <w:p w14:paraId="5AD1FA6F" w14:textId="77777777" w:rsidR="00B97531" w:rsidRDefault="00B97531" w:rsidP="00FE3783">
            <w:pPr>
              <w:widowControl w:val="0"/>
              <w:spacing w:line="240" w:lineRule="auto"/>
              <w:rPr>
                <w:highlight w:val="white"/>
              </w:rPr>
            </w:pPr>
            <w:r>
              <w:rPr>
                <w:highlight w:val="white"/>
              </w:rPr>
              <w:t>https://doi.org/10.1139/facets-2017-0107</w:t>
            </w:r>
          </w:p>
          <w:p w14:paraId="448165C4" w14:textId="77777777" w:rsidR="00B97531" w:rsidRDefault="00B97531" w:rsidP="00FE3783">
            <w:pPr>
              <w:widowControl w:val="0"/>
              <w:spacing w:line="240" w:lineRule="auto"/>
              <w:rPr>
                <w:highlight w:val="white"/>
              </w:rPr>
            </w:pPr>
          </w:p>
        </w:tc>
      </w:tr>
      <w:tr w:rsidR="00B97531" w14:paraId="0AF453A2" w14:textId="77777777" w:rsidTr="00FE3783">
        <w:tc>
          <w:tcPr>
            <w:tcW w:w="1845" w:type="dxa"/>
            <w:shd w:val="clear" w:color="auto" w:fill="auto"/>
            <w:tcMar>
              <w:top w:w="28" w:type="dxa"/>
              <w:left w:w="28" w:type="dxa"/>
              <w:bottom w:w="28" w:type="dxa"/>
              <w:right w:w="28" w:type="dxa"/>
            </w:tcMar>
          </w:tcPr>
          <w:p w14:paraId="6A0A3968" w14:textId="77777777" w:rsidR="00B97531" w:rsidRDefault="00B97531" w:rsidP="00FE3783">
            <w:pPr>
              <w:widowControl w:val="0"/>
              <w:spacing w:line="240" w:lineRule="auto"/>
              <w:rPr>
                <w:highlight w:val="white"/>
              </w:rPr>
            </w:pPr>
            <w:r>
              <w:rPr>
                <w:highlight w:val="white"/>
              </w:rPr>
              <w:t>Karam-</w:t>
            </w:r>
            <w:proofErr w:type="spellStart"/>
            <w:r>
              <w:rPr>
                <w:highlight w:val="white"/>
              </w:rPr>
              <w:t>Gemael</w:t>
            </w:r>
            <w:proofErr w:type="spellEnd"/>
            <w:r>
              <w:rPr>
                <w:highlight w:val="white"/>
              </w:rPr>
              <w:t xml:space="preserve"> et al.</w:t>
            </w:r>
          </w:p>
        </w:tc>
        <w:tc>
          <w:tcPr>
            <w:tcW w:w="735" w:type="dxa"/>
            <w:shd w:val="clear" w:color="auto" w:fill="auto"/>
            <w:tcMar>
              <w:top w:w="28" w:type="dxa"/>
              <w:left w:w="28" w:type="dxa"/>
              <w:bottom w:w="28" w:type="dxa"/>
              <w:right w:w="28" w:type="dxa"/>
            </w:tcMar>
          </w:tcPr>
          <w:p w14:paraId="2549424B" w14:textId="77777777" w:rsidR="00B97531" w:rsidRDefault="00B97531" w:rsidP="00FE3783">
            <w:pPr>
              <w:widowControl w:val="0"/>
              <w:spacing w:line="240" w:lineRule="auto"/>
              <w:rPr>
                <w:highlight w:val="white"/>
              </w:rPr>
            </w:pPr>
            <w:r>
              <w:rPr>
                <w:highlight w:val="white"/>
              </w:rPr>
              <w:t>2018</w:t>
            </w:r>
          </w:p>
        </w:tc>
        <w:tc>
          <w:tcPr>
            <w:tcW w:w="3015" w:type="dxa"/>
            <w:shd w:val="clear" w:color="auto" w:fill="auto"/>
            <w:tcMar>
              <w:top w:w="28" w:type="dxa"/>
              <w:left w:w="28" w:type="dxa"/>
              <w:bottom w:w="28" w:type="dxa"/>
              <w:right w:w="28" w:type="dxa"/>
            </w:tcMar>
          </w:tcPr>
          <w:p w14:paraId="06810639" w14:textId="77777777" w:rsidR="00B97531" w:rsidRDefault="00B97531" w:rsidP="00FE3783">
            <w:pPr>
              <w:widowControl w:val="0"/>
              <w:spacing w:line="240" w:lineRule="auto"/>
              <w:rPr>
                <w:highlight w:val="white"/>
              </w:rPr>
            </w:pPr>
            <w:r>
              <w:rPr>
                <w:highlight w:val="white"/>
              </w:rPr>
              <w:t xml:space="preserve">Poor alignment of priorities between scientists and policymakers highlights the need for evidence-informed conservation in Brazil. </w:t>
            </w:r>
          </w:p>
        </w:tc>
        <w:tc>
          <w:tcPr>
            <w:tcW w:w="1695" w:type="dxa"/>
            <w:shd w:val="clear" w:color="auto" w:fill="auto"/>
            <w:tcMar>
              <w:top w:w="28" w:type="dxa"/>
              <w:left w:w="28" w:type="dxa"/>
              <w:bottom w:w="28" w:type="dxa"/>
              <w:right w:w="28" w:type="dxa"/>
            </w:tcMar>
          </w:tcPr>
          <w:p w14:paraId="1ED87D6B" w14:textId="77777777" w:rsidR="00B97531" w:rsidRDefault="00B97531" w:rsidP="00FE3783">
            <w:pPr>
              <w:widowControl w:val="0"/>
              <w:spacing w:line="240" w:lineRule="auto"/>
              <w:rPr>
                <w:highlight w:val="white"/>
              </w:rPr>
            </w:pPr>
            <w:r>
              <w:rPr>
                <w:i/>
                <w:iCs/>
                <w:highlight w:val="white"/>
              </w:rPr>
              <w:t>Perspectives in Ecology and Conservation</w:t>
            </w:r>
          </w:p>
        </w:tc>
        <w:tc>
          <w:tcPr>
            <w:tcW w:w="1710" w:type="dxa"/>
            <w:shd w:val="clear" w:color="auto" w:fill="auto"/>
            <w:tcMar>
              <w:top w:w="28" w:type="dxa"/>
              <w:left w:w="28" w:type="dxa"/>
              <w:bottom w:w="28" w:type="dxa"/>
              <w:right w:w="28" w:type="dxa"/>
            </w:tcMar>
          </w:tcPr>
          <w:p w14:paraId="72503B00" w14:textId="77777777" w:rsidR="00B97531" w:rsidRDefault="00B97531" w:rsidP="00FE3783">
            <w:pPr>
              <w:widowControl w:val="0"/>
              <w:spacing w:line="240" w:lineRule="auto"/>
              <w:rPr>
                <w:highlight w:val="white"/>
              </w:rPr>
            </w:pPr>
            <w:r>
              <w:rPr>
                <w:highlight w:val="white"/>
              </w:rPr>
              <w:t>https://doi.org/10.1016/j.pecon.2018.06.002</w:t>
            </w:r>
          </w:p>
        </w:tc>
      </w:tr>
      <w:tr w:rsidR="00B97531" w14:paraId="30DA8520" w14:textId="77777777" w:rsidTr="00FE3783">
        <w:tc>
          <w:tcPr>
            <w:tcW w:w="1845" w:type="dxa"/>
            <w:shd w:val="clear" w:color="auto" w:fill="auto"/>
            <w:tcMar>
              <w:top w:w="28" w:type="dxa"/>
              <w:left w:w="28" w:type="dxa"/>
              <w:bottom w:w="28" w:type="dxa"/>
              <w:right w:w="28" w:type="dxa"/>
            </w:tcMar>
          </w:tcPr>
          <w:p w14:paraId="5A391F3A" w14:textId="77777777" w:rsidR="00B97531" w:rsidRDefault="00B97531" w:rsidP="00FE3783">
            <w:pPr>
              <w:widowControl w:val="0"/>
              <w:spacing w:line="240" w:lineRule="auto"/>
              <w:rPr>
                <w:highlight w:val="white"/>
              </w:rPr>
            </w:pPr>
            <w:r>
              <w:rPr>
                <w:highlight w:val="white"/>
              </w:rPr>
              <w:t xml:space="preserve">Arias et al. </w:t>
            </w:r>
          </w:p>
          <w:p w14:paraId="5C6FE8CF" w14:textId="77777777" w:rsidR="00B97531" w:rsidRDefault="00B97531" w:rsidP="00FE3783">
            <w:pPr>
              <w:widowControl w:val="0"/>
              <w:spacing w:line="240" w:lineRule="auto"/>
              <w:rPr>
                <w:highlight w:val="white"/>
              </w:rPr>
            </w:pPr>
          </w:p>
        </w:tc>
        <w:tc>
          <w:tcPr>
            <w:tcW w:w="735" w:type="dxa"/>
            <w:shd w:val="clear" w:color="auto" w:fill="auto"/>
            <w:tcMar>
              <w:top w:w="28" w:type="dxa"/>
              <w:left w:w="28" w:type="dxa"/>
              <w:bottom w:w="28" w:type="dxa"/>
              <w:right w:w="28" w:type="dxa"/>
            </w:tcMar>
          </w:tcPr>
          <w:p w14:paraId="4C4326E3" w14:textId="77777777" w:rsidR="00B97531" w:rsidRDefault="00B97531" w:rsidP="00FE3783">
            <w:pPr>
              <w:widowControl w:val="0"/>
              <w:spacing w:line="240" w:lineRule="auto"/>
              <w:rPr>
                <w:highlight w:val="white"/>
              </w:rPr>
            </w:pPr>
            <w:r>
              <w:rPr>
                <w:highlight w:val="white"/>
              </w:rPr>
              <w:t>2021</w:t>
            </w:r>
          </w:p>
        </w:tc>
        <w:tc>
          <w:tcPr>
            <w:tcW w:w="3015" w:type="dxa"/>
            <w:shd w:val="clear" w:color="auto" w:fill="auto"/>
            <w:tcMar>
              <w:top w:w="28" w:type="dxa"/>
              <w:left w:w="28" w:type="dxa"/>
              <w:bottom w:w="28" w:type="dxa"/>
              <w:right w:w="28" w:type="dxa"/>
            </w:tcMar>
          </w:tcPr>
          <w:p w14:paraId="4737BC90" w14:textId="77777777" w:rsidR="00B97531" w:rsidRDefault="00B97531" w:rsidP="00FE3783">
            <w:pPr>
              <w:widowControl w:val="0"/>
              <w:spacing w:line="240" w:lineRule="auto"/>
              <w:rPr>
                <w:highlight w:val="white"/>
              </w:rPr>
            </w:pPr>
            <w:r>
              <w:rPr>
                <w:highlight w:val="white"/>
              </w:rPr>
              <w:t>Use of evidence for decision‐making by conservation practitioners in the illegal wildlife trade.</w:t>
            </w:r>
          </w:p>
        </w:tc>
        <w:tc>
          <w:tcPr>
            <w:tcW w:w="1695" w:type="dxa"/>
            <w:shd w:val="clear" w:color="auto" w:fill="auto"/>
            <w:tcMar>
              <w:top w:w="28" w:type="dxa"/>
              <w:left w:w="28" w:type="dxa"/>
              <w:bottom w:w="28" w:type="dxa"/>
              <w:right w:w="28" w:type="dxa"/>
            </w:tcMar>
          </w:tcPr>
          <w:p w14:paraId="4049C1F2" w14:textId="77777777" w:rsidR="00B97531" w:rsidRDefault="00B97531" w:rsidP="00FE3783">
            <w:pPr>
              <w:widowControl w:val="0"/>
              <w:spacing w:line="240" w:lineRule="auto"/>
              <w:rPr>
                <w:highlight w:val="white"/>
              </w:rPr>
            </w:pPr>
            <w:r>
              <w:rPr>
                <w:i/>
                <w:iCs/>
                <w:highlight w:val="white"/>
              </w:rPr>
              <w:t>People and Nature</w:t>
            </w:r>
          </w:p>
        </w:tc>
        <w:tc>
          <w:tcPr>
            <w:tcW w:w="1710" w:type="dxa"/>
            <w:shd w:val="clear" w:color="auto" w:fill="auto"/>
            <w:tcMar>
              <w:top w:w="28" w:type="dxa"/>
              <w:left w:w="28" w:type="dxa"/>
              <w:bottom w:w="28" w:type="dxa"/>
              <w:right w:w="28" w:type="dxa"/>
            </w:tcMar>
          </w:tcPr>
          <w:p w14:paraId="68A22E63" w14:textId="77777777" w:rsidR="00B97531" w:rsidRDefault="00B97531" w:rsidP="00FE3783">
            <w:pPr>
              <w:widowControl w:val="0"/>
              <w:spacing w:line="240" w:lineRule="auto"/>
              <w:rPr>
                <w:highlight w:val="white"/>
              </w:rPr>
            </w:pPr>
            <w:r>
              <w:rPr>
                <w:highlight w:val="white"/>
              </w:rPr>
              <w:t>https://doi.org/10.1002/pan3.10258</w:t>
            </w:r>
          </w:p>
        </w:tc>
      </w:tr>
      <w:tr w:rsidR="00B97531" w14:paraId="3C761391" w14:textId="77777777" w:rsidTr="00FE3783">
        <w:tc>
          <w:tcPr>
            <w:tcW w:w="1845" w:type="dxa"/>
            <w:shd w:val="clear" w:color="auto" w:fill="auto"/>
            <w:tcMar>
              <w:top w:w="28" w:type="dxa"/>
              <w:left w:w="28" w:type="dxa"/>
              <w:bottom w:w="28" w:type="dxa"/>
              <w:right w:w="28" w:type="dxa"/>
            </w:tcMar>
          </w:tcPr>
          <w:p w14:paraId="4A31EB73" w14:textId="77777777" w:rsidR="00B97531" w:rsidRDefault="00B97531" w:rsidP="00FE3783">
            <w:pPr>
              <w:widowControl w:val="0"/>
              <w:spacing w:line="240" w:lineRule="auto"/>
              <w:rPr>
                <w:highlight w:val="white"/>
              </w:rPr>
            </w:pPr>
            <w:r>
              <w:rPr>
                <w:highlight w:val="white"/>
              </w:rPr>
              <w:t xml:space="preserve">Fabian et al. </w:t>
            </w:r>
          </w:p>
        </w:tc>
        <w:tc>
          <w:tcPr>
            <w:tcW w:w="735" w:type="dxa"/>
            <w:shd w:val="clear" w:color="auto" w:fill="auto"/>
            <w:tcMar>
              <w:top w:w="28" w:type="dxa"/>
              <w:left w:w="28" w:type="dxa"/>
              <w:bottom w:w="28" w:type="dxa"/>
              <w:right w:w="28" w:type="dxa"/>
            </w:tcMar>
          </w:tcPr>
          <w:p w14:paraId="782277E9" w14:textId="77777777" w:rsidR="00B97531" w:rsidRDefault="00B97531" w:rsidP="00FE3783">
            <w:pPr>
              <w:widowControl w:val="0"/>
              <w:spacing w:line="240" w:lineRule="auto"/>
              <w:rPr>
                <w:highlight w:val="white"/>
              </w:rPr>
            </w:pPr>
            <w:r>
              <w:rPr>
                <w:highlight w:val="white"/>
              </w:rPr>
              <w:t>2019</w:t>
            </w:r>
          </w:p>
        </w:tc>
        <w:tc>
          <w:tcPr>
            <w:tcW w:w="3015" w:type="dxa"/>
            <w:shd w:val="clear" w:color="auto" w:fill="auto"/>
            <w:tcMar>
              <w:top w:w="28" w:type="dxa"/>
              <w:left w:w="28" w:type="dxa"/>
              <w:bottom w:w="28" w:type="dxa"/>
              <w:right w:w="28" w:type="dxa"/>
            </w:tcMar>
          </w:tcPr>
          <w:p w14:paraId="5D5F1D61" w14:textId="77777777" w:rsidR="00B97531" w:rsidRDefault="00B97531" w:rsidP="00FE3783">
            <w:pPr>
              <w:widowControl w:val="0"/>
              <w:spacing w:line="240" w:lineRule="auto"/>
              <w:rPr>
                <w:highlight w:val="white"/>
              </w:rPr>
            </w:pPr>
            <w:r>
              <w:rPr>
                <w:highlight w:val="white"/>
              </w:rPr>
              <w:t xml:space="preserve">How to close the science-practice gap in nature conservation? Information sources used by practitioners. </w:t>
            </w:r>
          </w:p>
        </w:tc>
        <w:tc>
          <w:tcPr>
            <w:tcW w:w="1695" w:type="dxa"/>
            <w:shd w:val="clear" w:color="auto" w:fill="auto"/>
            <w:tcMar>
              <w:top w:w="28" w:type="dxa"/>
              <w:left w:w="28" w:type="dxa"/>
              <w:bottom w:w="28" w:type="dxa"/>
              <w:right w:w="28" w:type="dxa"/>
            </w:tcMar>
          </w:tcPr>
          <w:p w14:paraId="24F6F645" w14:textId="77777777" w:rsidR="00B97531" w:rsidRDefault="00B97531" w:rsidP="00FE3783">
            <w:pPr>
              <w:widowControl w:val="0"/>
              <w:spacing w:line="240" w:lineRule="auto"/>
              <w:rPr>
                <w:highlight w:val="white"/>
              </w:rPr>
            </w:pPr>
            <w:r>
              <w:rPr>
                <w:i/>
                <w:iCs/>
                <w:highlight w:val="white"/>
              </w:rPr>
              <w:t>Biological Conservation</w:t>
            </w:r>
          </w:p>
        </w:tc>
        <w:tc>
          <w:tcPr>
            <w:tcW w:w="1710" w:type="dxa"/>
            <w:shd w:val="clear" w:color="auto" w:fill="auto"/>
            <w:tcMar>
              <w:top w:w="28" w:type="dxa"/>
              <w:left w:w="28" w:type="dxa"/>
              <w:bottom w:w="28" w:type="dxa"/>
              <w:right w:w="28" w:type="dxa"/>
            </w:tcMar>
          </w:tcPr>
          <w:p w14:paraId="31527B5A" w14:textId="77777777" w:rsidR="00B97531" w:rsidRDefault="00B97531" w:rsidP="00FE3783">
            <w:pPr>
              <w:widowControl w:val="0"/>
              <w:spacing w:line="240" w:lineRule="auto"/>
              <w:rPr>
                <w:highlight w:val="white"/>
              </w:rPr>
            </w:pPr>
            <w:r>
              <w:rPr>
                <w:highlight w:val="white"/>
              </w:rPr>
              <w:t>https://doi.org/10.1016/j.biocon.2019.04.011</w:t>
            </w:r>
          </w:p>
          <w:p w14:paraId="4452EDB5" w14:textId="77777777" w:rsidR="00B97531" w:rsidRDefault="00B97531" w:rsidP="00FE3783">
            <w:pPr>
              <w:widowControl w:val="0"/>
              <w:spacing w:line="240" w:lineRule="auto"/>
              <w:rPr>
                <w:highlight w:val="white"/>
              </w:rPr>
            </w:pPr>
          </w:p>
        </w:tc>
      </w:tr>
      <w:tr w:rsidR="00B97531" w14:paraId="363018B5" w14:textId="77777777" w:rsidTr="00FE3783">
        <w:tc>
          <w:tcPr>
            <w:tcW w:w="1845" w:type="dxa"/>
            <w:shd w:val="clear" w:color="auto" w:fill="auto"/>
            <w:tcMar>
              <w:top w:w="28" w:type="dxa"/>
              <w:left w:w="28" w:type="dxa"/>
              <w:bottom w:w="28" w:type="dxa"/>
              <w:right w:w="28" w:type="dxa"/>
            </w:tcMar>
          </w:tcPr>
          <w:p w14:paraId="18D98136" w14:textId="77777777" w:rsidR="00B97531" w:rsidRDefault="00B97531" w:rsidP="00FE3783">
            <w:pPr>
              <w:widowControl w:val="0"/>
              <w:spacing w:line="240" w:lineRule="auto"/>
              <w:rPr>
                <w:highlight w:val="white"/>
              </w:rPr>
            </w:pPr>
            <w:proofErr w:type="spellStart"/>
            <w:r>
              <w:rPr>
                <w:highlight w:val="white"/>
              </w:rPr>
              <w:t>Cvitanovic</w:t>
            </w:r>
            <w:proofErr w:type="spellEnd"/>
            <w:r>
              <w:rPr>
                <w:highlight w:val="white"/>
              </w:rPr>
              <w:t xml:space="preserve"> et al., </w:t>
            </w:r>
          </w:p>
          <w:p w14:paraId="6B3EBECB" w14:textId="77777777" w:rsidR="00B97531" w:rsidRDefault="00B97531" w:rsidP="00FE3783">
            <w:pPr>
              <w:widowControl w:val="0"/>
              <w:spacing w:line="240" w:lineRule="auto"/>
              <w:rPr>
                <w:highlight w:val="white"/>
              </w:rPr>
            </w:pPr>
          </w:p>
          <w:p w14:paraId="612A6B34" w14:textId="77777777" w:rsidR="00B97531" w:rsidRDefault="00B97531" w:rsidP="00FE3783">
            <w:pPr>
              <w:widowControl w:val="0"/>
              <w:spacing w:line="240" w:lineRule="auto"/>
              <w:rPr>
                <w:highlight w:val="white"/>
              </w:rPr>
            </w:pPr>
          </w:p>
        </w:tc>
        <w:tc>
          <w:tcPr>
            <w:tcW w:w="735" w:type="dxa"/>
            <w:shd w:val="clear" w:color="auto" w:fill="auto"/>
            <w:tcMar>
              <w:top w:w="28" w:type="dxa"/>
              <w:left w:w="28" w:type="dxa"/>
              <w:bottom w:w="28" w:type="dxa"/>
              <w:right w:w="28" w:type="dxa"/>
            </w:tcMar>
          </w:tcPr>
          <w:p w14:paraId="335F94AA" w14:textId="77777777" w:rsidR="00B97531" w:rsidRDefault="00B97531" w:rsidP="00FE3783">
            <w:pPr>
              <w:widowControl w:val="0"/>
              <w:spacing w:line="240" w:lineRule="auto"/>
              <w:rPr>
                <w:highlight w:val="white"/>
              </w:rPr>
            </w:pPr>
            <w:r>
              <w:rPr>
                <w:highlight w:val="white"/>
              </w:rPr>
              <w:t>2015</w:t>
            </w:r>
          </w:p>
        </w:tc>
        <w:tc>
          <w:tcPr>
            <w:tcW w:w="3015" w:type="dxa"/>
            <w:shd w:val="clear" w:color="auto" w:fill="auto"/>
            <w:tcMar>
              <w:top w:w="28" w:type="dxa"/>
              <w:left w:w="28" w:type="dxa"/>
              <w:bottom w:w="28" w:type="dxa"/>
              <w:right w:w="28" w:type="dxa"/>
            </w:tcMar>
          </w:tcPr>
          <w:p w14:paraId="74D71160" w14:textId="77777777" w:rsidR="00B97531" w:rsidRDefault="00B97531" w:rsidP="00FE3783">
            <w:pPr>
              <w:widowControl w:val="0"/>
              <w:spacing w:line="240" w:lineRule="auto"/>
              <w:rPr>
                <w:highlight w:val="white"/>
              </w:rPr>
            </w:pPr>
            <w:r>
              <w:rPr>
                <w:highlight w:val="white"/>
              </w:rPr>
              <w:t xml:space="preserve">Overcoming barriers to knowledge exchange for adaptive resource management; the perspectives of Australian marine scientists. </w:t>
            </w:r>
          </w:p>
        </w:tc>
        <w:tc>
          <w:tcPr>
            <w:tcW w:w="1695" w:type="dxa"/>
            <w:shd w:val="clear" w:color="auto" w:fill="auto"/>
            <w:tcMar>
              <w:top w:w="28" w:type="dxa"/>
              <w:left w:w="28" w:type="dxa"/>
              <w:bottom w:w="28" w:type="dxa"/>
              <w:right w:w="28" w:type="dxa"/>
            </w:tcMar>
          </w:tcPr>
          <w:p w14:paraId="79C284FC" w14:textId="77777777" w:rsidR="00B97531" w:rsidRDefault="00B97531" w:rsidP="00FE3783">
            <w:pPr>
              <w:widowControl w:val="0"/>
              <w:spacing w:line="240" w:lineRule="auto"/>
              <w:rPr>
                <w:highlight w:val="white"/>
              </w:rPr>
            </w:pPr>
            <w:r>
              <w:rPr>
                <w:i/>
                <w:iCs/>
                <w:highlight w:val="white"/>
              </w:rPr>
              <w:t>Marine Policy</w:t>
            </w:r>
          </w:p>
        </w:tc>
        <w:tc>
          <w:tcPr>
            <w:tcW w:w="1710" w:type="dxa"/>
            <w:shd w:val="clear" w:color="auto" w:fill="auto"/>
            <w:tcMar>
              <w:top w:w="28" w:type="dxa"/>
              <w:left w:w="28" w:type="dxa"/>
              <w:bottom w:w="28" w:type="dxa"/>
              <w:right w:w="28" w:type="dxa"/>
            </w:tcMar>
          </w:tcPr>
          <w:p w14:paraId="3674B427" w14:textId="77777777" w:rsidR="00B97531" w:rsidRDefault="00B97531" w:rsidP="00FE3783">
            <w:pPr>
              <w:widowControl w:val="0"/>
              <w:spacing w:line="240" w:lineRule="auto"/>
              <w:rPr>
                <w:highlight w:val="white"/>
              </w:rPr>
            </w:pPr>
            <w:r>
              <w:rPr>
                <w:highlight w:val="white"/>
              </w:rPr>
              <w:t>https://doi.org/10.1016/j.marpol.2014.10.026</w:t>
            </w:r>
          </w:p>
        </w:tc>
      </w:tr>
      <w:tr w:rsidR="00B97531" w14:paraId="0A81C253" w14:textId="77777777" w:rsidTr="00FE3783">
        <w:tc>
          <w:tcPr>
            <w:tcW w:w="1845" w:type="dxa"/>
            <w:shd w:val="clear" w:color="auto" w:fill="auto"/>
            <w:tcMar>
              <w:top w:w="28" w:type="dxa"/>
              <w:left w:w="28" w:type="dxa"/>
              <w:bottom w:w="28" w:type="dxa"/>
              <w:right w:w="28" w:type="dxa"/>
            </w:tcMar>
          </w:tcPr>
          <w:p w14:paraId="6E3097BD" w14:textId="77777777" w:rsidR="00B97531" w:rsidRDefault="00B97531" w:rsidP="00FE3783">
            <w:pPr>
              <w:widowControl w:val="0"/>
              <w:spacing w:line="240" w:lineRule="auto"/>
              <w:rPr>
                <w:highlight w:val="white"/>
              </w:rPr>
            </w:pPr>
            <w:r>
              <w:rPr>
                <w:highlight w:val="white"/>
              </w:rPr>
              <w:t>Nguyen et al.</w:t>
            </w:r>
          </w:p>
          <w:p w14:paraId="593A3282" w14:textId="77777777" w:rsidR="00B97531" w:rsidRDefault="00B97531" w:rsidP="00FE3783">
            <w:pPr>
              <w:widowControl w:val="0"/>
              <w:spacing w:line="240" w:lineRule="auto"/>
              <w:rPr>
                <w:highlight w:val="white"/>
              </w:rPr>
            </w:pPr>
          </w:p>
        </w:tc>
        <w:tc>
          <w:tcPr>
            <w:tcW w:w="735" w:type="dxa"/>
            <w:shd w:val="clear" w:color="auto" w:fill="auto"/>
            <w:tcMar>
              <w:top w:w="28" w:type="dxa"/>
              <w:left w:w="28" w:type="dxa"/>
              <w:bottom w:w="28" w:type="dxa"/>
              <w:right w:w="28" w:type="dxa"/>
            </w:tcMar>
          </w:tcPr>
          <w:p w14:paraId="28B08104" w14:textId="77777777" w:rsidR="00B97531" w:rsidRDefault="00B97531" w:rsidP="00FE3783">
            <w:pPr>
              <w:widowControl w:val="0"/>
              <w:spacing w:line="240" w:lineRule="auto"/>
              <w:rPr>
                <w:highlight w:val="white"/>
              </w:rPr>
            </w:pPr>
            <w:r>
              <w:rPr>
                <w:highlight w:val="white"/>
              </w:rPr>
              <w:t>2019</w:t>
            </w:r>
          </w:p>
        </w:tc>
        <w:tc>
          <w:tcPr>
            <w:tcW w:w="3015" w:type="dxa"/>
            <w:shd w:val="clear" w:color="auto" w:fill="auto"/>
            <w:tcMar>
              <w:top w:w="28" w:type="dxa"/>
              <w:left w:w="28" w:type="dxa"/>
              <w:bottom w:w="28" w:type="dxa"/>
              <w:right w:w="28" w:type="dxa"/>
            </w:tcMar>
          </w:tcPr>
          <w:p w14:paraId="16523D7D" w14:textId="77777777" w:rsidR="00B97531" w:rsidRDefault="00B97531" w:rsidP="00FE3783">
            <w:pPr>
              <w:widowControl w:val="0"/>
              <w:spacing w:line="240" w:lineRule="auto"/>
              <w:rPr>
                <w:highlight w:val="white"/>
              </w:rPr>
            </w:pPr>
            <w:r>
              <w:rPr>
                <w:highlight w:val="white"/>
              </w:rPr>
              <w:t xml:space="preserve">What is “usable” knowledge? Perceived barriers for integrating new knowledge into management of an iconic Canadian fishery. </w:t>
            </w:r>
          </w:p>
        </w:tc>
        <w:tc>
          <w:tcPr>
            <w:tcW w:w="1695" w:type="dxa"/>
            <w:shd w:val="clear" w:color="auto" w:fill="auto"/>
            <w:tcMar>
              <w:top w:w="28" w:type="dxa"/>
              <w:left w:w="28" w:type="dxa"/>
              <w:bottom w:w="28" w:type="dxa"/>
              <w:right w:w="28" w:type="dxa"/>
            </w:tcMar>
          </w:tcPr>
          <w:p w14:paraId="6C0D9F60" w14:textId="77777777" w:rsidR="00B97531" w:rsidRDefault="00B97531" w:rsidP="00FE3783">
            <w:pPr>
              <w:widowControl w:val="0"/>
              <w:spacing w:line="240" w:lineRule="auto"/>
              <w:rPr>
                <w:highlight w:val="white"/>
              </w:rPr>
            </w:pPr>
            <w:r>
              <w:rPr>
                <w:i/>
                <w:iCs/>
                <w:highlight w:val="white"/>
              </w:rPr>
              <w:t>Canadian Journal of Fisheries and Aquatic Sciences</w:t>
            </w:r>
          </w:p>
        </w:tc>
        <w:tc>
          <w:tcPr>
            <w:tcW w:w="1710" w:type="dxa"/>
            <w:shd w:val="clear" w:color="auto" w:fill="auto"/>
            <w:tcMar>
              <w:top w:w="28" w:type="dxa"/>
              <w:left w:w="28" w:type="dxa"/>
              <w:bottom w:w="28" w:type="dxa"/>
              <w:right w:w="28" w:type="dxa"/>
            </w:tcMar>
          </w:tcPr>
          <w:p w14:paraId="61A82434" w14:textId="77777777" w:rsidR="00B97531" w:rsidRDefault="00B97531" w:rsidP="00FE3783">
            <w:pPr>
              <w:widowControl w:val="0"/>
              <w:spacing w:line="240" w:lineRule="auto"/>
              <w:rPr>
                <w:highlight w:val="white"/>
              </w:rPr>
            </w:pPr>
            <w:r>
              <w:rPr>
                <w:highlight w:val="white"/>
              </w:rPr>
              <w:t>https://doi.org/10.1139/cjfas-2017-0305</w:t>
            </w:r>
          </w:p>
        </w:tc>
      </w:tr>
      <w:tr w:rsidR="00B97531" w14:paraId="16EC7FE8" w14:textId="77777777" w:rsidTr="00FE3783">
        <w:tc>
          <w:tcPr>
            <w:tcW w:w="1845" w:type="dxa"/>
            <w:shd w:val="clear" w:color="auto" w:fill="auto"/>
            <w:tcMar>
              <w:top w:w="28" w:type="dxa"/>
              <w:left w:w="28" w:type="dxa"/>
              <w:bottom w:w="28" w:type="dxa"/>
              <w:right w:w="28" w:type="dxa"/>
            </w:tcMar>
          </w:tcPr>
          <w:p w14:paraId="2F089F0E" w14:textId="77777777" w:rsidR="00B97531" w:rsidRDefault="00B97531" w:rsidP="00FE3783">
            <w:pPr>
              <w:widowControl w:val="0"/>
              <w:spacing w:line="240" w:lineRule="auto"/>
              <w:rPr>
                <w:highlight w:val="white"/>
              </w:rPr>
            </w:pPr>
            <w:r>
              <w:rPr>
                <w:highlight w:val="white"/>
              </w:rPr>
              <w:t>Pullin &amp; Knight</w:t>
            </w:r>
          </w:p>
        </w:tc>
        <w:tc>
          <w:tcPr>
            <w:tcW w:w="735" w:type="dxa"/>
            <w:shd w:val="clear" w:color="auto" w:fill="auto"/>
            <w:tcMar>
              <w:top w:w="28" w:type="dxa"/>
              <w:left w:w="28" w:type="dxa"/>
              <w:bottom w:w="28" w:type="dxa"/>
              <w:right w:w="28" w:type="dxa"/>
            </w:tcMar>
          </w:tcPr>
          <w:p w14:paraId="78CA98B3" w14:textId="77777777" w:rsidR="00B97531" w:rsidRDefault="00B97531" w:rsidP="00FE3783">
            <w:pPr>
              <w:widowControl w:val="0"/>
              <w:spacing w:line="240" w:lineRule="auto"/>
              <w:rPr>
                <w:highlight w:val="white"/>
              </w:rPr>
            </w:pPr>
            <w:r>
              <w:rPr>
                <w:highlight w:val="white"/>
              </w:rPr>
              <w:t>2005</w:t>
            </w:r>
          </w:p>
        </w:tc>
        <w:tc>
          <w:tcPr>
            <w:tcW w:w="3015" w:type="dxa"/>
            <w:shd w:val="clear" w:color="auto" w:fill="auto"/>
            <w:tcMar>
              <w:top w:w="28" w:type="dxa"/>
              <w:left w:w="28" w:type="dxa"/>
              <w:bottom w:w="28" w:type="dxa"/>
              <w:right w:w="28" w:type="dxa"/>
            </w:tcMar>
          </w:tcPr>
          <w:p w14:paraId="0F510936" w14:textId="77777777" w:rsidR="00B97531" w:rsidRDefault="00B97531" w:rsidP="00FE3783">
            <w:pPr>
              <w:widowControl w:val="0"/>
              <w:spacing w:line="240" w:lineRule="auto"/>
              <w:rPr>
                <w:highlight w:val="white"/>
              </w:rPr>
            </w:pPr>
            <w:r>
              <w:rPr>
                <w:highlight w:val="white"/>
              </w:rPr>
              <w:t xml:space="preserve">Assessing conservation management’s evidence base: A survey of management‐plan compilers in the United Kingdom and Australia. </w:t>
            </w:r>
          </w:p>
        </w:tc>
        <w:tc>
          <w:tcPr>
            <w:tcW w:w="1695" w:type="dxa"/>
            <w:shd w:val="clear" w:color="auto" w:fill="auto"/>
            <w:tcMar>
              <w:top w:w="28" w:type="dxa"/>
              <w:left w:w="28" w:type="dxa"/>
              <w:bottom w:w="28" w:type="dxa"/>
              <w:right w:w="28" w:type="dxa"/>
            </w:tcMar>
          </w:tcPr>
          <w:p w14:paraId="32DB0B99" w14:textId="77777777" w:rsidR="00B97531" w:rsidRDefault="00B97531" w:rsidP="00FE3783">
            <w:pPr>
              <w:widowControl w:val="0"/>
              <w:spacing w:line="240" w:lineRule="auto"/>
              <w:rPr>
                <w:highlight w:val="white"/>
              </w:rPr>
            </w:pPr>
            <w:r>
              <w:rPr>
                <w:i/>
                <w:iCs/>
                <w:highlight w:val="white"/>
              </w:rPr>
              <w:t>Conservation Biology</w:t>
            </w:r>
          </w:p>
        </w:tc>
        <w:tc>
          <w:tcPr>
            <w:tcW w:w="1710" w:type="dxa"/>
            <w:shd w:val="clear" w:color="auto" w:fill="auto"/>
            <w:tcMar>
              <w:top w:w="28" w:type="dxa"/>
              <w:left w:w="28" w:type="dxa"/>
              <w:bottom w:w="28" w:type="dxa"/>
              <w:right w:w="28" w:type="dxa"/>
            </w:tcMar>
          </w:tcPr>
          <w:p w14:paraId="1858C227" w14:textId="77777777" w:rsidR="00B97531" w:rsidRDefault="00B97531" w:rsidP="00FE3783">
            <w:pPr>
              <w:widowControl w:val="0"/>
              <w:spacing w:line="240" w:lineRule="auto"/>
              <w:rPr>
                <w:highlight w:val="white"/>
              </w:rPr>
            </w:pPr>
            <w:r>
              <w:rPr>
                <w:highlight w:val="white"/>
              </w:rPr>
              <w:t>https://doi.org/10.1111/j.1523-1739.2005.00287.x</w:t>
            </w:r>
          </w:p>
          <w:p w14:paraId="201D1648" w14:textId="77777777" w:rsidR="00B97531" w:rsidRDefault="00B97531" w:rsidP="00FE3783">
            <w:pPr>
              <w:widowControl w:val="0"/>
              <w:spacing w:line="240" w:lineRule="auto"/>
              <w:rPr>
                <w:highlight w:val="white"/>
              </w:rPr>
            </w:pPr>
          </w:p>
        </w:tc>
      </w:tr>
      <w:tr w:rsidR="00B97531" w14:paraId="2EFDB02F" w14:textId="77777777" w:rsidTr="00FE3783">
        <w:tc>
          <w:tcPr>
            <w:tcW w:w="1845" w:type="dxa"/>
            <w:shd w:val="clear" w:color="auto" w:fill="auto"/>
            <w:tcMar>
              <w:top w:w="28" w:type="dxa"/>
              <w:left w:w="28" w:type="dxa"/>
              <w:bottom w:w="28" w:type="dxa"/>
              <w:right w:w="28" w:type="dxa"/>
            </w:tcMar>
          </w:tcPr>
          <w:p w14:paraId="09F3A028" w14:textId="77777777" w:rsidR="00B97531" w:rsidRDefault="00B97531" w:rsidP="00FE3783">
            <w:pPr>
              <w:widowControl w:val="0"/>
              <w:spacing w:line="240" w:lineRule="auto"/>
              <w:rPr>
                <w:highlight w:val="white"/>
              </w:rPr>
            </w:pPr>
            <w:r>
              <w:rPr>
                <w:highlight w:val="white"/>
              </w:rPr>
              <w:t xml:space="preserve">Young &amp; Van </w:t>
            </w:r>
            <w:proofErr w:type="spellStart"/>
            <w:r>
              <w:rPr>
                <w:highlight w:val="white"/>
              </w:rPr>
              <w:t>Aarde</w:t>
            </w:r>
            <w:proofErr w:type="spellEnd"/>
          </w:p>
          <w:p w14:paraId="6253CCD6" w14:textId="77777777" w:rsidR="00B97531" w:rsidRDefault="00B97531" w:rsidP="00FE3783">
            <w:pPr>
              <w:widowControl w:val="0"/>
              <w:spacing w:line="240" w:lineRule="auto"/>
              <w:rPr>
                <w:highlight w:val="white"/>
              </w:rPr>
            </w:pPr>
          </w:p>
        </w:tc>
        <w:tc>
          <w:tcPr>
            <w:tcW w:w="735" w:type="dxa"/>
            <w:shd w:val="clear" w:color="auto" w:fill="auto"/>
            <w:tcMar>
              <w:top w:w="28" w:type="dxa"/>
              <w:left w:w="28" w:type="dxa"/>
              <w:bottom w:w="28" w:type="dxa"/>
              <w:right w:w="28" w:type="dxa"/>
            </w:tcMar>
          </w:tcPr>
          <w:p w14:paraId="43E61152" w14:textId="77777777" w:rsidR="00B97531" w:rsidRDefault="00B97531" w:rsidP="00FE3783">
            <w:pPr>
              <w:widowControl w:val="0"/>
              <w:spacing w:line="240" w:lineRule="auto"/>
              <w:rPr>
                <w:highlight w:val="white"/>
              </w:rPr>
            </w:pPr>
            <w:r>
              <w:rPr>
                <w:highlight w:val="white"/>
              </w:rPr>
              <w:t>2011</w:t>
            </w:r>
          </w:p>
        </w:tc>
        <w:tc>
          <w:tcPr>
            <w:tcW w:w="3015" w:type="dxa"/>
            <w:shd w:val="clear" w:color="auto" w:fill="auto"/>
            <w:tcMar>
              <w:top w:w="28" w:type="dxa"/>
              <w:left w:w="28" w:type="dxa"/>
              <w:bottom w:w="28" w:type="dxa"/>
              <w:right w:w="28" w:type="dxa"/>
            </w:tcMar>
          </w:tcPr>
          <w:p w14:paraId="6C335FFC" w14:textId="77777777" w:rsidR="00B97531" w:rsidRDefault="00B97531" w:rsidP="00FE3783">
            <w:pPr>
              <w:widowControl w:val="0"/>
              <w:spacing w:line="240" w:lineRule="auto"/>
              <w:rPr>
                <w:highlight w:val="white"/>
              </w:rPr>
            </w:pPr>
            <w:r>
              <w:rPr>
                <w:highlight w:val="white"/>
              </w:rPr>
              <w:t>Science and elephant management decisions in South Africa.</w:t>
            </w:r>
          </w:p>
        </w:tc>
        <w:tc>
          <w:tcPr>
            <w:tcW w:w="1695" w:type="dxa"/>
            <w:shd w:val="clear" w:color="auto" w:fill="auto"/>
            <w:tcMar>
              <w:top w:w="28" w:type="dxa"/>
              <w:left w:w="28" w:type="dxa"/>
              <w:bottom w:w="28" w:type="dxa"/>
              <w:right w:w="28" w:type="dxa"/>
            </w:tcMar>
          </w:tcPr>
          <w:p w14:paraId="09F647A7" w14:textId="77777777" w:rsidR="00B97531" w:rsidRDefault="00B97531" w:rsidP="00FE3783">
            <w:pPr>
              <w:widowControl w:val="0"/>
              <w:spacing w:line="240" w:lineRule="auto"/>
              <w:rPr>
                <w:highlight w:val="white"/>
              </w:rPr>
            </w:pPr>
            <w:r>
              <w:rPr>
                <w:i/>
                <w:iCs/>
                <w:highlight w:val="white"/>
              </w:rPr>
              <w:t>Biological Conservation</w:t>
            </w:r>
          </w:p>
        </w:tc>
        <w:tc>
          <w:tcPr>
            <w:tcW w:w="1710" w:type="dxa"/>
            <w:shd w:val="clear" w:color="auto" w:fill="auto"/>
            <w:tcMar>
              <w:top w:w="28" w:type="dxa"/>
              <w:left w:w="28" w:type="dxa"/>
              <w:bottom w:w="28" w:type="dxa"/>
              <w:right w:w="28" w:type="dxa"/>
            </w:tcMar>
          </w:tcPr>
          <w:p w14:paraId="482783F2" w14:textId="77777777" w:rsidR="00B97531" w:rsidRDefault="00B97531" w:rsidP="00FE3783">
            <w:pPr>
              <w:widowControl w:val="0"/>
              <w:spacing w:line="240" w:lineRule="auto"/>
              <w:rPr>
                <w:highlight w:val="white"/>
              </w:rPr>
            </w:pPr>
            <w:r>
              <w:rPr>
                <w:highlight w:val="white"/>
              </w:rPr>
              <w:t>https://doi.org/10.1016/j.biocon.2010.11.023</w:t>
            </w:r>
          </w:p>
        </w:tc>
      </w:tr>
      <w:tr w:rsidR="00B97531" w14:paraId="664B5BED" w14:textId="77777777" w:rsidTr="00FE3783">
        <w:tc>
          <w:tcPr>
            <w:tcW w:w="1845" w:type="dxa"/>
            <w:shd w:val="clear" w:color="auto" w:fill="auto"/>
            <w:tcMar>
              <w:top w:w="28" w:type="dxa"/>
              <w:left w:w="28" w:type="dxa"/>
              <w:bottom w:w="28" w:type="dxa"/>
              <w:right w:w="28" w:type="dxa"/>
            </w:tcMar>
          </w:tcPr>
          <w:p w14:paraId="555CC9AC" w14:textId="77777777" w:rsidR="00B97531" w:rsidRDefault="00B97531" w:rsidP="00FE3783">
            <w:pPr>
              <w:widowControl w:val="0"/>
              <w:spacing w:line="240" w:lineRule="auto"/>
              <w:rPr>
                <w:highlight w:val="white"/>
              </w:rPr>
            </w:pPr>
            <w:proofErr w:type="spellStart"/>
            <w:r>
              <w:rPr>
                <w:highlight w:val="white"/>
              </w:rPr>
              <w:t>Gossa</w:t>
            </w:r>
            <w:proofErr w:type="spellEnd"/>
            <w:r>
              <w:rPr>
                <w:highlight w:val="white"/>
              </w:rPr>
              <w:t xml:space="preserve"> et al.</w:t>
            </w:r>
          </w:p>
          <w:p w14:paraId="63B1BA14" w14:textId="77777777" w:rsidR="00B97531" w:rsidRDefault="00B97531" w:rsidP="00FE3783">
            <w:pPr>
              <w:widowControl w:val="0"/>
              <w:spacing w:line="240" w:lineRule="auto"/>
              <w:rPr>
                <w:highlight w:val="white"/>
              </w:rPr>
            </w:pPr>
          </w:p>
        </w:tc>
        <w:tc>
          <w:tcPr>
            <w:tcW w:w="735" w:type="dxa"/>
            <w:shd w:val="clear" w:color="auto" w:fill="auto"/>
            <w:tcMar>
              <w:top w:w="28" w:type="dxa"/>
              <w:left w:w="28" w:type="dxa"/>
              <w:bottom w:w="28" w:type="dxa"/>
              <w:right w:w="28" w:type="dxa"/>
            </w:tcMar>
          </w:tcPr>
          <w:p w14:paraId="343C6F01" w14:textId="77777777" w:rsidR="00B97531" w:rsidRDefault="00B97531" w:rsidP="00FE3783">
            <w:pPr>
              <w:widowControl w:val="0"/>
              <w:spacing w:line="240" w:lineRule="auto"/>
              <w:rPr>
                <w:highlight w:val="white"/>
              </w:rPr>
            </w:pPr>
            <w:r>
              <w:rPr>
                <w:highlight w:val="white"/>
              </w:rPr>
              <w:t>2015</w:t>
            </w:r>
          </w:p>
        </w:tc>
        <w:tc>
          <w:tcPr>
            <w:tcW w:w="3015" w:type="dxa"/>
            <w:shd w:val="clear" w:color="auto" w:fill="auto"/>
            <w:tcMar>
              <w:top w:w="28" w:type="dxa"/>
              <w:left w:w="28" w:type="dxa"/>
              <w:bottom w:w="28" w:type="dxa"/>
              <w:right w:w="28" w:type="dxa"/>
            </w:tcMar>
          </w:tcPr>
          <w:p w14:paraId="0D7B35C2" w14:textId="77777777" w:rsidR="00B97531" w:rsidRDefault="00B97531" w:rsidP="00FE3783">
            <w:pPr>
              <w:widowControl w:val="0"/>
              <w:spacing w:line="240" w:lineRule="auto"/>
              <w:rPr>
                <w:highlight w:val="white"/>
              </w:rPr>
            </w:pPr>
            <w:r>
              <w:rPr>
                <w:highlight w:val="white"/>
              </w:rPr>
              <w:t xml:space="preserve">The research–implementation gap: how practitioners and researchers from developing countries perceive the role of peer-reviewed literature in conservation science. </w:t>
            </w:r>
          </w:p>
        </w:tc>
        <w:tc>
          <w:tcPr>
            <w:tcW w:w="1695" w:type="dxa"/>
            <w:shd w:val="clear" w:color="auto" w:fill="auto"/>
            <w:tcMar>
              <w:top w:w="28" w:type="dxa"/>
              <w:left w:w="28" w:type="dxa"/>
              <w:bottom w:w="28" w:type="dxa"/>
              <w:right w:w="28" w:type="dxa"/>
            </w:tcMar>
          </w:tcPr>
          <w:p w14:paraId="4ACA1663" w14:textId="77777777" w:rsidR="00B97531" w:rsidRDefault="00B97531" w:rsidP="00FE3783">
            <w:pPr>
              <w:widowControl w:val="0"/>
              <w:spacing w:line="240" w:lineRule="auto"/>
              <w:rPr>
                <w:highlight w:val="white"/>
              </w:rPr>
            </w:pPr>
            <w:r>
              <w:rPr>
                <w:i/>
                <w:iCs/>
                <w:highlight w:val="white"/>
              </w:rPr>
              <w:t>Oryx</w:t>
            </w:r>
          </w:p>
        </w:tc>
        <w:tc>
          <w:tcPr>
            <w:tcW w:w="1710" w:type="dxa"/>
            <w:shd w:val="clear" w:color="auto" w:fill="auto"/>
            <w:tcMar>
              <w:top w:w="28" w:type="dxa"/>
              <w:left w:w="28" w:type="dxa"/>
              <w:bottom w:w="28" w:type="dxa"/>
              <w:right w:w="28" w:type="dxa"/>
            </w:tcMar>
          </w:tcPr>
          <w:p w14:paraId="45C9B5AC" w14:textId="77777777" w:rsidR="00B97531" w:rsidRDefault="00B97531" w:rsidP="00FE3783">
            <w:pPr>
              <w:widowControl w:val="0"/>
              <w:spacing w:line="240" w:lineRule="auto"/>
              <w:rPr>
                <w:highlight w:val="white"/>
              </w:rPr>
            </w:pPr>
            <w:r>
              <w:rPr>
                <w:highlight w:val="white"/>
              </w:rPr>
              <w:t>https://doi.org/10.1017/s0030605313001634</w:t>
            </w:r>
          </w:p>
        </w:tc>
      </w:tr>
    </w:tbl>
    <w:p w14:paraId="74128822" w14:textId="77777777" w:rsidR="00B97531" w:rsidRDefault="00B97531" w:rsidP="00B97531">
      <w:pPr>
        <w:widowControl w:val="0"/>
        <w:shd w:val="clear" w:color="auto" w:fill="FFFFFF"/>
        <w:rPr>
          <w:b/>
          <w:bCs/>
          <w:highlight w:val="white"/>
        </w:rPr>
      </w:pPr>
    </w:p>
    <w:p w14:paraId="05FD75EB" w14:textId="77777777" w:rsidR="00B97531" w:rsidRDefault="00B97531" w:rsidP="00B97531">
      <w:pPr>
        <w:widowControl w:val="0"/>
        <w:shd w:val="clear" w:color="auto" w:fill="FFFFFF"/>
        <w:rPr>
          <w:b/>
          <w:bCs/>
          <w:highlight w:val="white"/>
        </w:rPr>
      </w:pPr>
    </w:p>
    <w:p w14:paraId="67A16BB2" w14:textId="77777777" w:rsidR="00B97531" w:rsidRDefault="00B97531" w:rsidP="00B97531">
      <w:pPr>
        <w:widowControl w:val="0"/>
        <w:shd w:val="clear" w:color="auto" w:fill="FFFFFF"/>
        <w:rPr>
          <w:highlight w:val="white"/>
        </w:rPr>
      </w:pPr>
      <w:r>
        <w:rPr>
          <w:b/>
          <w:bCs/>
          <w:highlight w:val="white"/>
        </w:rPr>
        <w:lastRenderedPageBreak/>
        <w:t>Table S2</w:t>
      </w:r>
      <w:r>
        <w:rPr>
          <w:highlight w:val="white"/>
        </w:rPr>
        <w:t xml:space="preserve"> - Search strings used for each of the platforms used to find literature</w:t>
      </w:r>
    </w:p>
    <w:tbl>
      <w:tblPr>
        <w:tblW w:w="90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5"/>
        <w:gridCol w:w="3950"/>
        <w:gridCol w:w="3950"/>
      </w:tblGrid>
      <w:tr w:rsidR="00B97531" w14:paraId="5FDFFB1E" w14:textId="77777777" w:rsidTr="00FE3783">
        <w:tc>
          <w:tcPr>
            <w:tcW w:w="1125" w:type="dxa"/>
            <w:shd w:val="clear" w:color="auto" w:fill="auto"/>
            <w:tcMar>
              <w:top w:w="100" w:type="dxa"/>
              <w:left w:w="100" w:type="dxa"/>
              <w:bottom w:w="100" w:type="dxa"/>
              <w:right w:w="100" w:type="dxa"/>
            </w:tcMar>
          </w:tcPr>
          <w:p w14:paraId="36AD75C3" w14:textId="77777777" w:rsidR="00B97531" w:rsidRDefault="00B97531" w:rsidP="00FE3783">
            <w:pPr>
              <w:widowControl w:val="0"/>
              <w:pBdr>
                <w:top w:val="nil"/>
                <w:left w:val="nil"/>
                <w:bottom w:val="nil"/>
                <w:right w:val="nil"/>
                <w:between w:val="nil"/>
              </w:pBdr>
              <w:spacing w:line="240" w:lineRule="auto"/>
              <w:rPr>
                <w:b/>
                <w:bCs/>
                <w:highlight w:val="white"/>
              </w:rPr>
            </w:pPr>
            <w:r>
              <w:rPr>
                <w:b/>
                <w:bCs/>
                <w:highlight w:val="white"/>
              </w:rPr>
              <w:t>Platform</w:t>
            </w:r>
          </w:p>
        </w:tc>
        <w:tc>
          <w:tcPr>
            <w:tcW w:w="3950" w:type="dxa"/>
            <w:shd w:val="clear" w:color="auto" w:fill="auto"/>
            <w:tcMar>
              <w:top w:w="100" w:type="dxa"/>
              <w:left w:w="100" w:type="dxa"/>
              <w:bottom w:w="100" w:type="dxa"/>
              <w:right w:w="100" w:type="dxa"/>
            </w:tcMar>
          </w:tcPr>
          <w:p w14:paraId="378B9B79" w14:textId="77777777" w:rsidR="00B97531" w:rsidRDefault="00B97531" w:rsidP="00FE3783">
            <w:pPr>
              <w:widowControl w:val="0"/>
              <w:pBdr>
                <w:top w:val="nil"/>
                <w:left w:val="nil"/>
                <w:bottom w:val="nil"/>
                <w:right w:val="nil"/>
                <w:between w:val="nil"/>
              </w:pBdr>
              <w:spacing w:line="240" w:lineRule="auto"/>
              <w:rPr>
                <w:b/>
                <w:bCs/>
                <w:highlight w:val="white"/>
              </w:rPr>
            </w:pPr>
            <w:r>
              <w:rPr>
                <w:b/>
                <w:bCs/>
                <w:highlight w:val="white"/>
              </w:rPr>
              <w:t>Search string</w:t>
            </w:r>
          </w:p>
        </w:tc>
        <w:tc>
          <w:tcPr>
            <w:tcW w:w="3950" w:type="dxa"/>
            <w:shd w:val="clear" w:color="auto" w:fill="auto"/>
            <w:tcMar>
              <w:top w:w="100" w:type="dxa"/>
              <w:left w:w="100" w:type="dxa"/>
              <w:bottom w:w="100" w:type="dxa"/>
              <w:right w:w="100" w:type="dxa"/>
            </w:tcMar>
          </w:tcPr>
          <w:p w14:paraId="01D83E70" w14:textId="77777777" w:rsidR="00B97531" w:rsidRDefault="00B97531" w:rsidP="00FE3783">
            <w:pPr>
              <w:widowControl w:val="0"/>
              <w:pBdr>
                <w:top w:val="nil"/>
                <w:left w:val="nil"/>
                <w:bottom w:val="nil"/>
                <w:right w:val="nil"/>
                <w:between w:val="nil"/>
              </w:pBdr>
              <w:spacing w:line="240" w:lineRule="auto"/>
              <w:rPr>
                <w:b/>
                <w:bCs/>
                <w:highlight w:val="white"/>
              </w:rPr>
            </w:pPr>
            <w:r>
              <w:rPr>
                <w:b/>
                <w:bCs/>
                <w:highlight w:val="white"/>
              </w:rPr>
              <w:t>Number of results</w:t>
            </w:r>
          </w:p>
        </w:tc>
      </w:tr>
      <w:tr w:rsidR="00B97531" w14:paraId="6D285E8F" w14:textId="77777777" w:rsidTr="00FE3783">
        <w:tc>
          <w:tcPr>
            <w:tcW w:w="1125" w:type="dxa"/>
            <w:shd w:val="clear" w:color="auto" w:fill="auto"/>
            <w:tcMar>
              <w:top w:w="100" w:type="dxa"/>
              <w:left w:w="100" w:type="dxa"/>
              <w:bottom w:w="100" w:type="dxa"/>
              <w:right w:w="100" w:type="dxa"/>
            </w:tcMar>
          </w:tcPr>
          <w:p w14:paraId="2EB1A317" w14:textId="77777777" w:rsidR="00B97531" w:rsidRDefault="00B97531" w:rsidP="00FE3783">
            <w:pPr>
              <w:widowControl w:val="0"/>
              <w:pBdr>
                <w:top w:val="nil"/>
                <w:left w:val="nil"/>
                <w:bottom w:val="nil"/>
                <w:right w:val="nil"/>
                <w:between w:val="nil"/>
              </w:pBdr>
              <w:spacing w:line="240" w:lineRule="auto"/>
              <w:rPr>
                <w:highlight w:val="white"/>
              </w:rPr>
            </w:pPr>
            <w:r>
              <w:rPr>
                <w:highlight w:val="white"/>
              </w:rPr>
              <w:t>Web of Science</w:t>
            </w:r>
          </w:p>
        </w:tc>
        <w:tc>
          <w:tcPr>
            <w:tcW w:w="3950" w:type="dxa"/>
            <w:shd w:val="clear" w:color="auto" w:fill="auto"/>
            <w:tcMar>
              <w:top w:w="100" w:type="dxa"/>
              <w:left w:w="100" w:type="dxa"/>
              <w:bottom w:w="100" w:type="dxa"/>
              <w:right w:w="100" w:type="dxa"/>
            </w:tcMar>
          </w:tcPr>
          <w:p w14:paraId="6FCA7721" w14:textId="77777777" w:rsidR="00B97531" w:rsidRDefault="00B97531" w:rsidP="00FE3783">
            <w:pPr>
              <w:widowControl w:val="0"/>
              <w:spacing w:line="240" w:lineRule="auto"/>
              <w:rPr>
                <w:sz w:val="21"/>
                <w:szCs w:val="21"/>
                <w:shd w:val="clear" w:color="auto" w:fill="FAFAFC"/>
              </w:rPr>
            </w:pPr>
            <w:r>
              <w:rPr>
                <w:sz w:val="21"/>
                <w:szCs w:val="21"/>
                <w:shd w:val="clear" w:color="auto" w:fill="FAFAFC"/>
              </w:rPr>
              <w:t>TS</w:t>
            </w:r>
            <w:proofErr w:type="gramStart"/>
            <w:r>
              <w:rPr>
                <w:sz w:val="21"/>
                <w:szCs w:val="21"/>
                <w:shd w:val="clear" w:color="auto" w:fill="FAFAFC"/>
              </w:rPr>
              <w:t>=(</w:t>
            </w:r>
            <w:proofErr w:type="gramEnd"/>
            <w:r>
              <w:rPr>
                <w:sz w:val="21"/>
                <w:szCs w:val="21"/>
                <w:shd w:val="clear" w:color="auto" w:fill="FAFAFC"/>
              </w:rPr>
              <w:t>(evidence* OR ("knowledge NEAR/5 use*") OR ("scientific NEAR/5 information"))</w:t>
            </w:r>
          </w:p>
          <w:p w14:paraId="45491BA8" w14:textId="77777777" w:rsidR="00B97531" w:rsidRDefault="00B97531" w:rsidP="00FE3783">
            <w:pPr>
              <w:widowControl w:val="0"/>
              <w:spacing w:line="240" w:lineRule="auto"/>
              <w:rPr>
                <w:sz w:val="21"/>
                <w:szCs w:val="21"/>
                <w:shd w:val="clear" w:color="auto" w:fill="FAFAFC"/>
              </w:rPr>
            </w:pPr>
            <w:r>
              <w:rPr>
                <w:sz w:val="21"/>
                <w:szCs w:val="21"/>
                <w:shd w:val="clear" w:color="auto" w:fill="FAFAFC"/>
              </w:rPr>
              <w:t xml:space="preserve">AND (barrier* OR </w:t>
            </w:r>
            <w:proofErr w:type="spellStart"/>
            <w:r>
              <w:rPr>
                <w:sz w:val="21"/>
                <w:szCs w:val="21"/>
                <w:shd w:val="clear" w:color="auto" w:fill="FAFAFC"/>
              </w:rPr>
              <w:t>facilitat</w:t>
            </w:r>
            <w:proofErr w:type="spellEnd"/>
            <w:r>
              <w:rPr>
                <w:sz w:val="21"/>
                <w:szCs w:val="21"/>
                <w:shd w:val="clear" w:color="auto" w:fill="FAFAFC"/>
              </w:rPr>
              <w:t xml:space="preserve">* OR uptake* OR utilis* OR </w:t>
            </w:r>
            <w:proofErr w:type="spellStart"/>
            <w:r>
              <w:rPr>
                <w:sz w:val="21"/>
                <w:szCs w:val="21"/>
                <w:shd w:val="clear" w:color="auto" w:fill="FAFAFC"/>
              </w:rPr>
              <w:t>utiliz</w:t>
            </w:r>
            <w:proofErr w:type="spellEnd"/>
            <w:r>
              <w:rPr>
                <w:sz w:val="21"/>
                <w:szCs w:val="21"/>
                <w:shd w:val="clear" w:color="auto" w:fill="FAFAFC"/>
              </w:rPr>
              <w:t>* OR implement* OR adopt* OR "research translation"</w:t>
            </w:r>
          </w:p>
          <w:p w14:paraId="20B6E0D0" w14:textId="77777777" w:rsidR="00B97531" w:rsidRDefault="00B97531" w:rsidP="00FE3783">
            <w:pPr>
              <w:widowControl w:val="0"/>
              <w:spacing w:line="240" w:lineRule="auto"/>
              <w:rPr>
                <w:sz w:val="21"/>
                <w:szCs w:val="21"/>
                <w:shd w:val="clear" w:color="auto" w:fill="FAFAFC"/>
              </w:rPr>
            </w:pPr>
            <w:r>
              <w:rPr>
                <w:sz w:val="21"/>
                <w:szCs w:val="21"/>
                <w:shd w:val="clear" w:color="auto" w:fill="FAFAFC"/>
              </w:rPr>
              <w:t>OR "science-practice gap" OR "science-implementation gap" OR "knowing-doing gap" OR "decision making" OR "decision-making")</w:t>
            </w:r>
          </w:p>
          <w:p w14:paraId="22DB4ACE" w14:textId="77777777" w:rsidR="00B97531" w:rsidRDefault="00B97531" w:rsidP="00FE3783">
            <w:pPr>
              <w:widowControl w:val="0"/>
              <w:pBdr>
                <w:top w:val="nil"/>
                <w:left w:val="nil"/>
                <w:bottom w:val="nil"/>
                <w:right w:val="nil"/>
                <w:between w:val="nil"/>
              </w:pBdr>
              <w:spacing w:line="240" w:lineRule="auto"/>
              <w:rPr>
                <w:sz w:val="21"/>
                <w:szCs w:val="21"/>
                <w:shd w:val="clear" w:color="auto" w:fill="FAFAFC"/>
              </w:rPr>
            </w:pPr>
            <w:r>
              <w:rPr>
                <w:sz w:val="21"/>
                <w:szCs w:val="21"/>
                <w:shd w:val="clear" w:color="auto" w:fill="FAFAFC"/>
              </w:rPr>
              <w:t>AND (conservation OR biodiversity OR ecosystem* OR fishery OR fisheries OR marine OR freshwater OR "natural resource management"))</w:t>
            </w:r>
          </w:p>
        </w:tc>
        <w:tc>
          <w:tcPr>
            <w:tcW w:w="3950" w:type="dxa"/>
            <w:shd w:val="clear" w:color="auto" w:fill="auto"/>
            <w:tcMar>
              <w:top w:w="100" w:type="dxa"/>
              <w:left w:w="100" w:type="dxa"/>
              <w:bottom w:w="100" w:type="dxa"/>
              <w:right w:w="100" w:type="dxa"/>
            </w:tcMar>
          </w:tcPr>
          <w:p w14:paraId="51D18000" w14:textId="77777777" w:rsidR="00B97531" w:rsidRDefault="00B97531" w:rsidP="00FE3783">
            <w:pPr>
              <w:widowControl w:val="0"/>
              <w:pBdr>
                <w:top w:val="nil"/>
                <w:left w:val="nil"/>
                <w:bottom w:val="nil"/>
                <w:right w:val="nil"/>
                <w:between w:val="nil"/>
              </w:pBdr>
              <w:spacing w:line="240" w:lineRule="auto"/>
              <w:rPr>
                <w:highlight w:val="white"/>
              </w:rPr>
            </w:pPr>
            <w:r>
              <w:rPr>
                <w:highlight w:val="white"/>
              </w:rPr>
              <w:t>23415</w:t>
            </w:r>
          </w:p>
        </w:tc>
      </w:tr>
      <w:tr w:rsidR="00B97531" w14:paraId="0949CC6F" w14:textId="77777777" w:rsidTr="00FE3783">
        <w:tc>
          <w:tcPr>
            <w:tcW w:w="1125" w:type="dxa"/>
            <w:shd w:val="clear" w:color="auto" w:fill="auto"/>
            <w:tcMar>
              <w:top w:w="100" w:type="dxa"/>
              <w:left w:w="100" w:type="dxa"/>
              <w:bottom w:w="100" w:type="dxa"/>
              <w:right w:w="100" w:type="dxa"/>
            </w:tcMar>
          </w:tcPr>
          <w:p w14:paraId="40C076A1" w14:textId="77777777" w:rsidR="00B97531" w:rsidRDefault="00B97531" w:rsidP="00FE3783">
            <w:pPr>
              <w:widowControl w:val="0"/>
              <w:pBdr>
                <w:top w:val="nil"/>
                <w:left w:val="nil"/>
                <w:bottom w:val="nil"/>
                <w:right w:val="nil"/>
                <w:between w:val="nil"/>
              </w:pBdr>
              <w:spacing w:line="240" w:lineRule="auto"/>
              <w:rPr>
                <w:highlight w:val="white"/>
              </w:rPr>
            </w:pPr>
            <w:r>
              <w:rPr>
                <w:highlight w:val="white"/>
              </w:rPr>
              <w:t>Scopus</w:t>
            </w:r>
          </w:p>
        </w:tc>
        <w:tc>
          <w:tcPr>
            <w:tcW w:w="3950" w:type="dxa"/>
            <w:shd w:val="clear" w:color="auto" w:fill="auto"/>
            <w:tcMar>
              <w:top w:w="100" w:type="dxa"/>
              <w:left w:w="100" w:type="dxa"/>
              <w:bottom w:w="100" w:type="dxa"/>
              <w:right w:w="100" w:type="dxa"/>
            </w:tcMar>
          </w:tcPr>
          <w:p w14:paraId="3293E0DF" w14:textId="77777777" w:rsidR="00B97531" w:rsidRDefault="00B97531" w:rsidP="00FE3783">
            <w:pPr>
              <w:widowControl w:val="0"/>
              <w:spacing w:line="240" w:lineRule="auto"/>
              <w:rPr>
                <w:highlight w:val="white"/>
              </w:rPr>
            </w:pPr>
            <w:r>
              <w:rPr>
                <w:highlight w:val="white"/>
              </w:rPr>
              <w:t xml:space="preserve">TITLE-ABS-KEY ((evidence* OR (knowledge W/5 use*) OR (scientific w/5 information)) AND (barrier* OR </w:t>
            </w:r>
            <w:proofErr w:type="spellStart"/>
            <w:r>
              <w:rPr>
                <w:highlight w:val="white"/>
              </w:rPr>
              <w:t>facilitat</w:t>
            </w:r>
            <w:proofErr w:type="spellEnd"/>
            <w:r>
              <w:rPr>
                <w:highlight w:val="white"/>
              </w:rPr>
              <w:t xml:space="preserve">* OR use OR used OR uptake* OR utilis* OR </w:t>
            </w:r>
            <w:proofErr w:type="spellStart"/>
            <w:r>
              <w:rPr>
                <w:highlight w:val="white"/>
              </w:rPr>
              <w:t>utiliz</w:t>
            </w:r>
            <w:proofErr w:type="spellEnd"/>
            <w:r>
              <w:rPr>
                <w:highlight w:val="white"/>
              </w:rPr>
              <w:t>* OR "</w:t>
            </w:r>
            <w:proofErr w:type="spellStart"/>
            <w:r>
              <w:rPr>
                <w:highlight w:val="white"/>
              </w:rPr>
              <w:t>science$practice</w:t>
            </w:r>
            <w:proofErr w:type="spellEnd"/>
            <w:r>
              <w:rPr>
                <w:highlight w:val="white"/>
              </w:rPr>
              <w:t xml:space="preserve"> gap" OR "</w:t>
            </w:r>
            <w:proofErr w:type="spellStart"/>
            <w:r>
              <w:rPr>
                <w:highlight w:val="white"/>
              </w:rPr>
              <w:t>science$implementation</w:t>
            </w:r>
            <w:proofErr w:type="spellEnd"/>
            <w:r>
              <w:rPr>
                <w:highlight w:val="white"/>
              </w:rPr>
              <w:t xml:space="preserve"> gap" OR "</w:t>
            </w:r>
            <w:proofErr w:type="spellStart"/>
            <w:r>
              <w:rPr>
                <w:highlight w:val="white"/>
              </w:rPr>
              <w:t>knowing$doing</w:t>
            </w:r>
            <w:proofErr w:type="spellEnd"/>
            <w:r>
              <w:rPr>
                <w:highlight w:val="white"/>
              </w:rPr>
              <w:t xml:space="preserve"> gap" OR "decision making" OR "decision-</w:t>
            </w:r>
            <w:proofErr w:type="spellStart"/>
            <w:r>
              <w:rPr>
                <w:highlight w:val="white"/>
              </w:rPr>
              <w:t>makin</w:t>
            </w:r>
            <w:proofErr w:type="spellEnd"/>
          </w:p>
          <w:p w14:paraId="6E269171" w14:textId="77777777" w:rsidR="00B97531" w:rsidRDefault="00B97531" w:rsidP="00FE3783">
            <w:pPr>
              <w:widowControl w:val="0"/>
              <w:spacing w:line="240" w:lineRule="auto"/>
              <w:rPr>
                <w:highlight w:val="white"/>
              </w:rPr>
            </w:pPr>
            <w:r>
              <w:rPr>
                <w:highlight w:val="white"/>
              </w:rPr>
              <w:t xml:space="preserve">g") AND </w:t>
            </w:r>
            <w:proofErr w:type="gramStart"/>
            <w:r>
              <w:rPr>
                <w:highlight w:val="white"/>
              </w:rPr>
              <w:t>( conservation</w:t>
            </w:r>
            <w:proofErr w:type="gramEnd"/>
            <w:r>
              <w:rPr>
                <w:highlight w:val="white"/>
              </w:rPr>
              <w:t xml:space="preserve"> OR fishery OR fisheries OR marine))</w:t>
            </w:r>
          </w:p>
        </w:tc>
        <w:tc>
          <w:tcPr>
            <w:tcW w:w="3950" w:type="dxa"/>
            <w:shd w:val="clear" w:color="auto" w:fill="auto"/>
            <w:tcMar>
              <w:top w:w="100" w:type="dxa"/>
              <w:left w:w="100" w:type="dxa"/>
              <w:bottom w:w="100" w:type="dxa"/>
              <w:right w:w="100" w:type="dxa"/>
            </w:tcMar>
          </w:tcPr>
          <w:p w14:paraId="58A6925D" w14:textId="77777777" w:rsidR="00B97531" w:rsidRDefault="00B97531" w:rsidP="00FE3783">
            <w:pPr>
              <w:widowControl w:val="0"/>
              <w:spacing w:line="240" w:lineRule="auto"/>
              <w:rPr>
                <w:highlight w:val="white"/>
              </w:rPr>
            </w:pPr>
            <w:r>
              <w:rPr>
                <w:highlight w:val="white"/>
              </w:rPr>
              <w:t>13893</w:t>
            </w:r>
          </w:p>
        </w:tc>
      </w:tr>
    </w:tbl>
    <w:p w14:paraId="6F347F36" w14:textId="77777777" w:rsidR="00B97531" w:rsidRDefault="00B97531" w:rsidP="00B97531">
      <w:pPr>
        <w:widowControl w:val="0"/>
        <w:shd w:val="clear" w:color="auto" w:fill="FFFFFF"/>
        <w:rPr>
          <w:highlight w:val="white"/>
        </w:rPr>
        <w:sectPr w:rsidR="00B97531" w:rsidSect="00B97531">
          <w:footerReference w:type="default" r:id="rId7"/>
          <w:footerReference w:type="first" r:id="rId8"/>
          <w:pgSz w:w="11909" w:h="16834"/>
          <w:pgMar w:top="1440" w:right="1440" w:bottom="1440" w:left="1440" w:header="720" w:footer="720" w:gutter="0"/>
          <w:pgNumType w:start="0"/>
          <w:cols w:space="720"/>
          <w:titlePg/>
        </w:sectPr>
      </w:pPr>
    </w:p>
    <w:p w14:paraId="1853AADE" w14:textId="77777777" w:rsidR="00B97531" w:rsidRDefault="00B97531" w:rsidP="00B97531">
      <w:pPr>
        <w:widowControl w:val="0"/>
        <w:pBdr>
          <w:top w:val="nil"/>
          <w:left w:val="nil"/>
          <w:bottom w:val="nil"/>
          <w:right w:val="nil"/>
          <w:between w:val="nil"/>
        </w:pBdr>
        <w:rPr>
          <w:b/>
          <w:bCs/>
        </w:rPr>
      </w:pPr>
      <w:r>
        <w:rPr>
          <w:b/>
          <w:bCs/>
          <w:noProof/>
        </w:rPr>
        <w:lastRenderedPageBreak/>
        <w:drawing>
          <wp:inline distT="0" distB="0" distL="0" distR="0" wp14:anchorId="0D516F2D" wp14:editId="0822D995">
            <wp:extent cx="5733415" cy="6270625"/>
            <wp:effectExtent l="0" t="0" r="635" b="0"/>
            <wp:docPr id="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3415" cy="6270625"/>
                    </a:xfrm>
                    <a:prstGeom prst="rect">
                      <a:avLst/>
                    </a:prstGeom>
                  </pic:spPr>
                </pic:pic>
              </a:graphicData>
            </a:graphic>
          </wp:inline>
        </w:drawing>
      </w:r>
    </w:p>
    <w:p w14:paraId="5CCEB63A" w14:textId="77777777" w:rsidR="00B97531" w:rsidRDefault="00B97531" w:rsidP="00B97531">
      <w:pPr>
        <w:widowControl w:val="0"/>
        <w:pBdr>
          <w:top w:val="nil"/>
          <w:left w:val="nil"/>
          <w:bottom w:val="nil"/>
          <w:right w:val="nil"/>
          <w:between w:val="nil"/>
        </w:pBdr>
      </w:pPr>
      <w:r>
        <w:rPr>
          <w:b/>
          <w:bCs/>
        </w:rPr>
        <w:t xml:space="preserve">Figure S1 </w:t>
      </w:r>
      <w:r>
        <w:t>- ROSES diagram representing the searching and screening process carried out to construct the systematic map</w:t>
      </w:r>
    </w:p>
    <w:p w14:paraId="0131B607" w14:textId="77777777" w:rsidR="00B97531" w:rsidRDefault="00B97531" w:rsidP="00B97531">
      <w:pPr>
        <w:widowControl w:val="0"/>
        <w:pBdr>
          <w:top w:val="nil"/>
          <w:left w:val="nil"/>
          <w:bottom w:val="nil"/>
          <w:right w:val="nil"/>
          <w:between w:val="nil"/>
        </w:pBdr>
        <w:rPr>
          <w:b/>
          <w:bCs/>
        </w:rPr>
      </w:pPr>
    </w:p>
    <w:p w14:paraId="6B20CDAF" w14:textId="77777777" w:rsidR="00B97531" w:rsidRDefault="00B97531" w:rsidP="00B97531">
      <w:pPr>
        <w:widowControl w:val="0"/>
        <w:pBdr>
          <w:top w:val="nil"/>
          <w:left w:val="nil"/>
          <w:bottom w:val="nil"/>
          <w:right w:val="nil"/>
          <w:between w:val="nil"/>
        </w:pBdr>
        <w:rPr>
          <w:b/>
          <w:bCs/>
        </w:rPr>
      </w:pPr>
      <w:r>
        <w:rPr>
          <w:b/>
          <w:bCs/>
          <w:noProof/>
        </w:rPr>
        <w:lastRenderedPageBreak/>
        <w:drawing>
          <wp:inline distT="114300" distB="114300" distL="114300" distR="114300" wp14:anchorId="3C01E080" wp14:editId="2F0E7142">
            <wp:extent cx="5731200" cy="34417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31200" cy="3441700"/>
                    </a:xfrm>
                    <a:prstGeom prst="rect">
                      <a:avLst/>
                    </a:prstGeom>
                    <a:ln/>
                  </pic:spPr>
                </pic:pic>
              </a:graphicData>
            </a:graphic>
          </wp:inline>
        </w:drawing>
      </w:r>
    </w:p>
    <w:p w14:paraId="647F93AE" w14:textId="77777777" w:rsidR="00B97531" w:rsidRDefault="00B97531" w:rsidP="00B97531">
      <w:pPr>
        <w:widowControl w:val="0"/>
        <w:pBdr>
          <w:top w:val="nil"/>
          <w:left w:val="nil"/>
          <w:bottom w:val="nil"/>
          <w:right w:val="nil"/>
          <w:between w:val="nil"/>
        </w:pBdr>
      </w:pPr>
      <w:r>
        <w:rPr>
          <w:b/>
          <w:bCs/>
        </w:rPr>
        <w:t>Figure S2</w:t>
      </w:r>
      <w:r>
        <w:t xml:space="preserve"> - The frequency with which different disciplines of scientific evidence were investigated in studies assessing factors impacting the use of scientific evidence in conservation decision-making</w:t>
      </w:r>
    </w:p>
    <w:p w14:paraId="0E1E1117" w14:textId="77777777" w:rsidR="005E55F1" w:rsidRDefault="005E55F1"/>
    <w:p w14:paraId="0D7C4FAB" w14:textId="10C00BC8" w:rsidR="00C820C1" w:rsidRDefault="00C820C1">
      <w:pPr>
        <w:rPr>
          <w:b/>
          <w:bCs/>
        </w:rPr>
      </w:pPr>
      <w:r>
        <w:rPr>
          <w:b/>
          <w:bCs/>
        </w:rPr>
        <w:t>Studies used in systematic map</w:t>
      </w:r>
    </w:p>
    <w:p w14:paraId="72F6898A" w14:textId="77777777" w:rsidR="00C820C1" w:rsidRDefault="00C820C1"/>
    <w:p w14:paraId="11C103AF" w14:textId="77777777" w:rsidR="00C820C1" w:rsidRPr="00C820C1" w:rsidRDefault="00C820C1" w:rsidP="00C820C1">
      <w:r w:rsidRPr="00C820C1">
        <w:t xml:space="preserve">Ainsworth, G. B., Redpath, S. M., Wilson, M., </w:t>
      </w:r>
      <w:proofErr w:type="spellStart"/>
      <w:r w:rsidRPr="00C820C1">
        <w:t>Wernham</w:t>
      </w:r>
      <w:proofErr w:type="spellEnd"/>
      <w:r w:rsidRPr="00C820C1">
        <w:t xml:space="preserve">, C., &amp; Young, J. C. (2020). Integrating scientific and local knowledge to address conservation conflicts: Towards a practical framework based on lessons learned from a Scottish case study. </w:t>
      </w:r>
      <w:r w:rsidRPr="00C820C1">
        <w:rPr>
          <w:i/>
          <w:iCs/>
        </w:rPr>
        <w:t>Environmental Science &amp; Policy</w:t>
      </w:r>
      <w:r w:rsidRPr="00C820C1">
        <w:t xml:space="preserve">, </w:t>
      </w:r>
      <w:r w:rsidRPr="00C820C1">
        <w:rPr>
          <w:i/>
          <w:iCs/>
        </w:rPr>
        <w:t>107</w:t>
      </w:r>
      <w:r w:rsidRPr="00C820C1">
        <w:t>, 46–55. https://doi.org/10.1016/j.envsci.2020.02.017</w:t>
      </w:r>
      <w:r w:rsidRPr="00C820C1">
        <w:br/>
      </w:r>
      <w:r w:rsidRPr="00C820C1">
        <w:br/>
        <w:t xml:space="preserve">Arias, M., </w:t>
      </w:r>
      <w:proofErr w:type="spellStart"/>
      <w:r w:rsidRPr="00C820C1">
        <w:t>Hinsley</w:t>
      </w:r>
      <w:proofErr w:type="spellEnd"/>
      <w:r w:rsidRPr="00C820C1">
        <w:t xml:space="preserve">, A., &amp; Milner-Gulland, E. J. (2021). Use of evidence for decision-making by conservation practitioners in the illegal wildlife trade. </w:t>
      </w:r>
      <w:r w:rsidRPr="00C820C1">
        <w:rPr>
          <w:i/>
          <w:iCs/>
        </w:rPr>
        <w:t>People and Nature</w:t>
      </w:r>
      <w:r w:rsidRPr="00C820C1">
        <w:t xml:space="preserve">, </w:t>
      </w:r>
      <w:r w:rsidRPr="00C820C1">
        <w:rPr>
          <w:i/>
          <w:iCs/>
        </w:rPr>
        <w:t>3</w:t>
      </w:r>
      <w:r w:rsidRPr="00C820C1">
        <w:t>(5), 1110–1126. https://doi.org/10.1002/pan3.10258</w:t>
      </w:r>
      <w:r w:rsidRPr="00C820C1">
        <w:br/>
      </w:r>
      <w:r w:rsidRPr="00C820C1">
        <w:br/>
        <w:t xml:space="preserve">Coll, M., </w:t>
      </w:r>
      <w:proofErr w:type="spellStart"/>
      <w:r w:rsidRPr="00C820C1">
        <w:t>Cury</w:t>
      </w:r>
      <w:proofErr w:type="spellEnd"/>
      <w:r w:rsidRPr="00C820C1">
        <w:t xml:space="preserve">, P., Azzurro, E., </w:t>
      </w:r>
      <w:proofErr w:type="spellStart"/>
      <w:r w:rsidRPr="00C820C1">
        <w:t>Bariche</w:t>
      </w:r>
      <w:proofErr w:type="spellEnd"/>
      <w:r w:rsidRPr="00C820C1">
        <w:t xml:space="preserve">, M., </w:t>
      </w:r>
      <w:proofErr w:type="spellStart"/>
      <w:r w:rsidRPr="00C820C1">
        <w:t>Bayadas</w:t>
      </w:r>
      <w:proofErr w:type="spellEnd"/>
      <w:r w:rsidRPr="00C820C1">
        <w:t xml:space="preserve">, G., </w:t>
      </w:r>
      <w:proofErr w:type="spellStart"/>
      <w:r w:rsidRPr="00C820C1">
        <w:t>Bellido</w:t>
      </w:r>
      <w:proofErr w:type="spellEnd"/>
      <w:r w:rsidRPr="00C820C1">
        <w:t xml:space="preserve">, J. M., </w:t>
      </w:r>
      <w:proofErr w:type="spellStart"/>
      <w:r w:rsidRPr="00C820C1">
        <w:t>Chaboud</w:t>
      </w:r>
      <w:proofErr w:type="spellEnd"/>
      <w:r w:rsidRPr="00C820C1">
        <w:t xml:space="preserve">, C., Claudet, J., El-Sayed, A.-F., </w:t>
      </w:r>
      <w:proofErr w:type="spellStart"/>
      <w:r w:rsidRPr="00C820C1">
        <w:t>Gascuel</w:t>
      </w:r>
      <w:proofErr w:type="spellEnd"/>
      <w:r w:rsidRPr="00C820C1">
        <w:t xml:space="preserve">, D., </w:t>
      </w:r>
      <w:proofErr w:type="spellStart"/>
      <w:r w:rsidRPr="00C820C1">
        <w:t>Knittweis</w:t>
      </w:r>
      <w:proofErr w:type="spellEnd"/>
      <w:r w:rsidRPr="00C820C1">
        <w:t xml:space="preserve">, L., </w:t>
      </w:r>
      <w:proofErr w:type="spellStart"/>
      <w:r w:rsidRPr="00C820C1">
        <w:t>Pipitone</w:t>
      </w:r>
      <w:proofErr w:type="spellEnd"/>
      <w:r w:rsidRPr="00C820C1">
        <w:t xml:space="preserve">, C., Samuel-Rhoads, Y., </w:t>
      </w:r>
      <w:proofErr w:type="spellStart"/>
      <w:r w:rsidRPr="00C820C1">
        <w:t>Taleb</w:t>
      </w:r>
      <w:proofErr w:type="spellEnd"/>
      <w:r w:rsidRPr="00C820C1">
        <w:t xml:space="preserve">, S., </w:t>
      </w:r>
      <w:proofErr w:type="spellStart"/>
      <w:r w:rsidRPr="00C820C1">
        <w:t>Tudela</w:t>
      </w:r>
      <w:proofErr w:type="spellEnd"/>
      <w:r w:rsidRPr="00C820C1">
        <w:t xml:space="preserve">, S., &amp; Valls, A. (2013). The scientific strategy needed to promote a regional ecosystem-based approach to fisheries in the Mediterranean and Black Seas. </w:t>
      </w:r>
      <w:r w:rsidRPr="00C820C1">
        <w:rPr>
          <w:i/>
          <w:iCs/>
        </w:rPr>
        <w:t>Reviews in Fish Biology and Fisheries</w:t>
      </w:r>
      <w:r w:rsidRPr="00C820C1">
        <w:t xml:space="preserve">, </w:t>
      </w:r>
      <w:r w:rsidRPr="00C820C1">
        <w:rPr>
          <w:i/>
          <w:iCs/>
        </w:rPr>
        <w:t>23</w:t>
      </w:r>
      <w:r w:rsidRPr="00C820C1">
        <w:t>(4), 415–434. https://doi.org/10.1007/s11160-013-9305-y</w:t>
      </w:r>
      <w:r w:rsidRPr="00C820C1">
        <w:br/>
      </w:r>
      <w:r w:rsidRPr="00C820C1">
        <w:br/>
        <w:t xml:space="preserve">Cook, C. N., &amp; </w:t>
      </w:r>
      <w:proofErr w:type="spellStart"/>
      <w:r w:rsidRPr="00C820C1">
        <w:t>Sgrò</w:t>
      </w:r>
      <w:proofErr w:type="spellEnd"/>
      <w:r w:rsidRPr="00C820C1">
        <w:t xml:space="preserve">, C. M. (2019). Poor understanding of evolutionary theory is a barrier to effective conservation management. </w:t>
      </w:r>
      <w:r w:rsidRPr="00C820C1">
        <w:rPr>
          <w:i/>
          <w:iCs/>
        </w:rPr>
        <w:t>Conservation Letters</w:t>
      </w:r>
      <w:r w:rsidRPr="00C820C1">
        <w:t xml:space="preserve">, </w:t>
      </w:r>
      <w:r w:rsidRPr="00C820C1">
        <w:rPr>
          <w:i/>
          <w:iCs/>
        </w:rPr>
        <w:t>12</w:t>
      </w:r>
      <w:r w:rsidRPr="00C820C1">
        <w:t>(2). https://doi.org/10.1111/conl.12619</w:t>
      </w:r>
      <w:r w:rsidRPr="00C820C1">
        <w:br/>
      </w:r>
      <w:r w:rsidRPr="00C820C1">
        <w:br/>
        <w:t xml:space="preserve">Cooke, S. J., Nguyen, V. M., Wilson, A. D. M., Donaldson, M. R., Gallagher, A. J., </w:t>
      </w:r>
      <w:proofErr w:type="spellStart"/>
      <w:r w:rsidRPr="00C820C1">
        <w:t>Hammerschlag</w:t>
      </w:r>
      <w:proofErr w:type="spellEnd"/>
      <w:r w:rsidRPr="00C820C1">
        <w:t xml:space="preserve">, N., &amp; </w:t>
      </w:r>
      <w:proofErr w:type="spellStart"/>
      <w:r w:rsidRPr="00C820C1">
        <w:t>Haddaway</w:t>
      </w:r>
      <w:proofErr w:type="spellEnd"/>
      <w:r w:rsidRPr="00C820C1">
        <w:t xml:space="preserve">, N. R. (2016). The need for speed in a crisis discipline: perspectives on peer-review duration and implications for conservation science. </w:t>
      </w:r>
      <w:r w:rsidRPr="00C820C1">
        <w:rPr>
          <w:i/>
          <w:iCs/>
        </w:rPr>
        <w:t>Endangered Species Research</w:t>
      </w:r>
      <w:r w:rsidRPr="00C820C1">
        <w:t xml:space="preserve">, </w:t>
      </w:r>
      <w:r w:rsidRPr="00C820C1">
        <w:rPr>
          <w:i/>
          <w:iCs/>
        </w:rPr>
        <w:t>30</w:t>
      </w:r>
      <w:r w:rsidRPr="00C820C1">
        <w:t>, 43405. https://doi.org/10.3354/esr00721</w:t>
      </w:r>
      <w:r w:rsidRPr="00C820C1">
        <w:br/>
      </w:r>
      <w:r w:rsidRPr="00C820C1">
        <w:lastRenderedPageBreak/>
        <w:br/>
      </w:r>
      <w:proofErr w:type="spellStart"/>
      <w:r w:rsidRPr="00C820C1">
        <w:t>Cvitanovic</w:t>
      </w:r>
      <w:proofErr w:type="spellEnd"/>
      <w:r w:rsidRPr="00C820C1">
        <w:t xml:space="preserve">, C., Mackay, M., </w:t>
      </w:r>
      <w:proofErr w:type="spellStart"/>
      <w:r w:rsidRPr="00C820C1">
        <w:t>Shellock</w:t>
      </w:r>
      <w:proofErr w:type="spellEnd"/>
      <w:r w:rsidRPr="00C820C1">
        <w:t xml:space="preserve">, R. J., van </w:t>
      </w:r>
      <w:proofErr w:type="spellStart"/>
      <w:r w:rsidRPr="00C820C1">
        <w:t>Putten</w:t>
      </w:r>
      <w:proofErr w:type="spellEnd"/>
      <w:r w:rsidRPr="00C820C1">
        <w:t xml:space="preserve">, E. I., </w:t>
      </w:r>
      <w:proofErr w:type="spellStart"/>
      <w:r w:rsidRPr="00C820C1">
        <w:t>Karcher</w:t>
      </w:r>
      <w:proofErr w:type="spellEnd"/>
      <w:r w:rsidRPr="00C820C1">
        <w:t>, D. B., &amp; Dickey-</w:t>
      </w:r>
      <w:proofErr w:type="spellStart"/>
      <w:r w:rsidRPr="00C820C1">
        <w:t>Collas</w:t>
      </w:r>
      <w:proofErr w:type="spellEnd"/>
      <w:r w:rsidRPr="00C820C1">
        <w:t xml:space="preserve">, M. (2021). Understanding and evidencing a broader range of successes that can occur at the interface of marine science and policy. </w:t>
      </w:r>
      <w:r w:rsidRPr="00C820C1">
        <w:rPr>
          <w:i/>
          <w:iCs/>
        </w:rPr>
        <w:t>Marine Policy</w:t>
      </w:r>
      <w:r w:rsidRPr="00C820C1">
        <w:t xml:space="preserve">, </w:t>
      </w:r>
      <w:r w:rsidRPr="00C820C1">
        <w:rPr>
          <w:i/>
          <w:iCs/>
        </w:rPr>
        <w:t>134</w:t>
      </w:r>
      <w:r w:rsidRPr="00C820C1">
        <w:t>. https://doi.org/10.1016/j.marpol.2021.104802</w:t>
      </w:r>
      <w:r w:rsidRPr="00C820C1">
        <w:br/>
      </w:r>
      <w:r w:rsidRPr="00C820C1">
        <w:br/>
      </w:r>
      <w:proofErr w:type="spellStart"/>
      <w:r w:rsidRPr="00C820C1">
        <w:t>Cvitanovic</w:t>
      </w:r>
      <w:proofErr w:type="spellEnd"/>
      <w:r w:rsidRPr="00C820C1">
        <w:t xml:space="preserve">, C., </w:t>
      </w:r>
      <w:proofErr w:type="spellStart"/>
      <w:r w:rsidRPr="00C820C1">
        <w:t>Shellock</w:t>
      </w:r>
      <w:proofErr w:type="spellEnd"/>
      <w:r w:rsidRPr="00C820C1">
        <w:t xml:space="preserve">, R. J., Mackay, M., Van, P. E. I., </w:t>
      </w:r>
      <w:proofErr w:type="spellStart"/>
      <w:r w:rsidRPr="00C820C1">
        <w:t>Karcher</w:t>
      </w:r>
      <w:proofErr w:type="spellEnd"/>
      <w:r w:rsidRPr="00C820C1">
        <w:t>, D. B., Dickey-</w:t>
      </w:r>
      <w:proofErr w:type="spellStart"/>
      <w:r w:rsidRPr="00C820C1">
        <w:t>Collas</w:t>
      </w:r>
      <w:proofErr w:type="spellEnd"/>
      <w:r w:rsidRPr="00C820C1">
        <w:t xml:space="preserve">, M., &amp; Ballesteros, M. (2021). Strategies for building and managing “trust” to enable knowledge exchange at the interface of environmental science and policy. </w:t>
      </w:r>
      <w:r w:rsidRPr="00C820C1">
        <w:rPr>
          <w:i/>
          <w:iCs/>
        </w:rPr>
        <w:t>Environmental Science &amp; Policy</w:t>
      </w:r>
      <w:r w:rsidRPr="00C820C1">
        <w:t xml:space="preserve">, </w:t>
      </w:r>
      <w:r w:rsidRPr="00C820C1">
        <w:rPr>
          <w:i/>
          <w:iCs/>
        </w:rPr>
        <w:t>123</w:t>
      </w:r>
      <w:r w:rsidRPr="00C820C1">
        <w:t>, 179–189.</w:t>
      </w:r>
      <w:r w:rsidRPr="00C820C1">
        <w:br/>
      </w:r>
      <w:r w:rsidRPr="00C820C1">
        <w:br/>
        <w:t xml:space="preserve">Davies, A. L., Colombo, S., &amp; Hanley, N. (2014). Improving the application of long-term ecology in conservation and land management. </w:t>
      </w:r>
      <w:r w:rsidRPr="00C820C1">
        <w:rPr>
          <w:i/>
          <w:iCs/>
        </w:rPr>
        <w:t>The Journal of Applied Ecology</w:t>
      </w:r>
      <w:r w:rsidRPr="00C820C1">
        <w:t xml:space="preserve">, </w:t>
      </w:r>
      <w:r w:rsidRPr="00C820C1">
        <w:rPr>
          <w:i/>
          <w:iCs/>
        </w:rPr>
        <w:t>51</w:t>
      </w:r>
      <w:r w:rsidRPr="00C820C1">
        <w:t>(1), 63–70. https://doi.org/10.1111/1365-2664.12163</w:t>
      </w:r>
      <w:r w:rsidRPr="00C820C1">
        <w:br/>
      </w:r>
      <w:r w:rsidRPr="00C820C1">
        <w:br/>
        <w:t xml:space="preserve">Denny, S., &amp; Fanning, L. (2016). Balancing community autonomy with collective identity: Mi’kmaq decision-making in Nova Scotia. </w:t>
      </w:r>
      <w:r w:rsidRPr="00C820C1">
        <w:rPr>
          <w:i/>
          <w:iCs/>
        </w:rPr>
        <w:t>The Canadian Journal of Native Studies</w:t>
      </w:r>
      <w:r w:rsidRPr="00C820C1">
        <w:t xml:space="preserve">, </w:t>
      </w:r>
      <w:r w:rsidRPr="00C820C1">
        <w:rPr>
          <w:i/>
          <w:iCs/>
        </w:rPr>
        <w:t>36</w:t>
      </w:r>
      <w:r w:rsidRPr="00C820C1">
        <w:t>(2), 81–106.</w:t>
      </w:r>
      <w:r w:rsidRPr="00C820C1">
        <w:br/>
      </w:r>
      <w:r w:rsidRPr="00C820C1">
        <w:br/>
      </w:r>
      <w:proofErr w:type="spellStart"/>
      <w:r w:rsidRPr="00C820C1">
        <w:t>Dharmawan</w:t>
      </w:r>
      <w:proofErr w:type="spellEnd"/>
      <w:r w:rsidRPr="00C820C1">
        <w:t xml:space="preserve">, B., </w:t>
      </w:r>
      <w:proofErr w:type="spellStart"/>
      <w:r w:rsidRPr="00C820C1">
        <w:t>Böcher</w:t>
      </w:r>
      <w:proofErr w:type="spellEnd"/>
      <w:r w:rsidRPr="00C820C1">
        <w:t xml:space="preserve">, M., &amp; </w:t>
      </w:r>
      <w:proofErr w:type="spellStart"/>
      <w:r w:rsidRPr="00C820C1">
        <w:t>Krott</w:t>
      </w:r>
      <w:proofErr w:type="spellEnd"/>
      <w:r w:rsidRPr="00C820C1">
        <w:t xml:space="preserve">, M. (2017). Endangered Mangroves in </w:t>
      </w:r>
      <w:proofErr w:type="spellStart"/>
      <w:r w:rsidRPr="00C820C1">
        <w:t>Segara</w:t>
      </w:r>
      <w:proofErr w:type="spellEnd"/>
      <w:r w:rsidRPr="00C820C1">
        <w:t xml:space="preserve"> </w:t>
      </w:r>
      <w:proofErr w:type="spellStart"/>
      <w:r w:rsidRPr="00C820C1">
        <w:t>Anakan</w:t>
      </w:r>
      <w:proofErr w:type="spellEnd"/>
      <w:r w:rsidRPr="00C820C1">
        <w:t xml:space="preserve">, Indonesia: Effective and Failed Problem-Solving Policy Advice. </w:t>
      </w:r>
      <w:r w:rsidRPr="00C820C1">
        <w:rPr>
          <w:i/>
          <w:iCs/>
        </w:rPr>
        <w:t>Environmental Management</w:t>
      </w:r>
      <w:r w:rsidRPr="00C820C1">
        <w:t xml:space="preserve">, </w:t>
      </w:r>
      <w:r w:rsidRPr="00C820C1">
        <w:rPr>
          <w:i/>
          <w:iCs/>
        </w:rPr>
        <w:t>60</w:t>
      </w:r>
      <w:r w:rsidRPr="00C820C1">
        <w:t>(3), 409–421. https://doi.org/10.1007/s00267-017-0868-6</w:t>
      </w:r>
      <w:r w:rsidRPr="00C820C1">
        <w:br/>
      </w:r>
      <w:r w:rsidRPr="00C820C1">
        <w:br/>
      </w:r>
      <w:proofErr w:type="spellStart"/>
      <w:r w:rsidRPr="00C820C1">
        <w:t>Eschen</w:t>
      </w:r>
      <w:proofErr w:type="spellEnd"/>
      <w:r w:rsidRPr="00C820C1">
        <w:t xml:space="preserve">, R., </w:t>
      </w:r>
      <w:proofErr w:type="spellStart"/>
      <w:r w:rsidRPr="00C820C1">
        <w:t>Mbaabu</w:t>
      </w:r>
      <w:proofErr w:type="spellEnd"/>
      <w:r w:rsidRPr="00C820C1">
        <w:t xml:space="preserve">, P. R., </w:t>
      </w:r>
      <w:proofErr w:type="spellStart"/>
      <w:r w:rsidRPr="00C820C1">
        <w:t>Ramamonjisoa</w:t>
      </w:r>
      <w:proofErr w:type="spellEnd"/>
      <w:r w:rsidRPr="00C820C1">
        <w:t xml:space="preserve">, B. S., &amp; Robledo-Abad, C. (2021). Factors enhancing the level of utilisation of research knowledge on ecosystems. </w:t>
      </w:r>
      <w:proofErr w:type="spellStart"/>
      <w:r w:rsidRPr="00C820C1">
        <w:rPr>
          <w:i/>
          <w:iCs/>
        </w:rPr>
        <w:t>PloS</w:t>
      </w:r>
      <w:proofErr w:type="spellEnd"/>
      <w:r w:rsidRPr="00C820C1">
        <w:rPr>
          <w:i/>
          <w:iCs/>
        </w:rPr>
        <w:t xml:space="preserve"> One</w:t>
      </w:r>
      <w:r w:rsidRPr="00C820C1">
        <w:t xml:space="preserve">, </w:t>
      </w:r>
      <w:r w:rsidRPr="00C820C1">
        <w:rPr>
          <w:i/>
          <w:iCs/>
        </w:rPr>
        <w:t>16</w:t>
      </w:r>
      <w:r w:rsidRPr="00C820C1">
        <w:t>(7). https://doi.org/10.1371/journal.pone.0254752</w:t>
      </w:r>
      <w:r w:rsidRPr="00C820C1">
        <w:br/>
      </w:r>
      <w:r w:rsidRPr="00C820C1">
        <w:br/>
        <w:t xml:space="preserve">Ferré, M., Martin-Ortega, J., Di Gregorio, M., &amp; </w:t>
      </w:r>
      <w:proofErr w:type="spellStart"/>
      <w:r w:rsidRPr="00C820C1">
        <w:t>Dallimer</w:t>
      </w:r>
      <w:proofErr w:type="spellEnd"/>
      <w:r w:rsidRPr="00C820C1">
        <w:t xml:space="preserve">, M. (2022). How do information flows affect impact from environmental </w:t>
      </w:r>
      <w:proofErr w:type="gramStart"/>
      <w:r w:rsidRPr="00C820C1">
        <w:t>research?-</w:t>
      </w:r>
      <w:proofErr w:type="gramEnd"/>
      <w:r w:rsidRPr="00C820C1">
        <w:t xml:space="preserve">An analysis of a science-policy network. </w:t>
      </w:r>
      <w:r w:rsidRPr="00C820C1">
        <w:rPr>
          <w:i/>
          <w:iCs/>
        </w:rPr>
        <w:t>Journal of Environmental Management</w:t>
      </w:r>
      <w:r w:rsidRPr="00C820C1">
        <w:t xml:space="preserve">, </w:t>
      </w:r>
      <w:r w:rsidRPr="00C820C1">
        <w:rPr>
          <w:i/>
          <w:iCs/>
        </w:rPr>
        <w:t>321</w:t>
      </w:r>
      <w:r w:rsidRPr="00C820C1">
        <w:t>. https://doi.org/10.1016/j.jenvman.2022.115828</w:t>
      </w:r>
      <w:r w:rsidRPr="00C820C1">
        <w:br/>
      </w:r>
      <w:r w:rsidRPr="00C820C1">
        <w:br/>
        <w:t xml:space="preserve">Foster, C. N., O’Loughlin, L. S., Sato, C. F., Westgate, M. J., Barton, P. S., Pierson, J. C., Balmer, J. M., Catt, G., Chapman, J., </w:t>
      </w:r>
      <w:proofErr w:type="spellStart"/>
      <w:r w:rsidRPr="00C820C1">
        <w:t>Detto</w:t>
      </w:r>
      <w:proofErr w:type="spellEnd"/>
      <w:r w:rsidRPr="00C820C1">
        <w:t xml:space="preserve">, T., </w:t>
      </w:r>
      <w:proofErr w:type="spellStart"/>
      <w:r w:rsidRPr="00C820C1">
        <w:t>Hawcroft</w:t>
      </w:r>
      <w:proofErr w:type="spellEnd"/>
      <w:r w:rsidRPr="00C820C1">
        <w:t xml:space="preserve">, A., Jones, G., Kavanagh, R. P., McKay, M., Marshall, D., </w:t>
      </w:r>
      <w:proofErr w:type="spellStart"/>
      <w:r w:rsidRPr="00C820C1">
        <w:t>Moseby</w:t>
      </w:r>
      <w:proofErr w:type="spellEnd"/>
      <w:r w:rsidRPr="00C820C1">
        <w:t xml:space="preserve">, K. E., Perry, M., Robinson, D., Seddon, J. A., … </w:t>
      </w:r>
      <w:proofErr w:type="spellStart"/>
      <w:r w:rsidRPr="00C820C1">
        <w:t>Lindenmayer</w:t>
      </w:r>
      <w:proofErr w:type="spellEnd"/>
      <w:r w:rsidRPr="00C820C1">
        <w:t xml:space="preserve">, D. B. (2019). How practitioners integrate decision triggers with existing metrics in conservation monitoring. </w:t>
      </w:r>
      <w:r w:rsidRPr="00C820C1">
        <w:rPr>
          <w:i/>
          <w:iCs/>
        </w:rPr>
        <w:t>Journal of Environmental Management</w:t>
      </w:r>
      <w:r w:rsidRPr="00C820C1">
        <w:t xml:space="preserve">, </w:t>
      </w:r>
      <w:r w:rsidRPr="00C820C1">
        <w:rPr>
          <w:i/>
          <w:iCs/>
        </w:rPr>
        <w:t>230</w:t>
      </w:r>
      <w:r w:rsidRPr="00C820C1">
        <w:t>, 94–101. https://doi.org/10.1016/j.jenvman.2018.09.067</w:t>
      </w:r>
      <w:r w:rsidRPr="00C820C1">
        <w:br/>
      </w:r>
      <w:r w:rsidRPr="00C820C1">
        <w:br/>
      </w:r>
      <w:proofErr w:type="spellStart"/>
      <w:r w:rsidRPr="00C820C1">
        <w:t>Gagné</w:t>
      </w:r>
      <w:proofErr w:type="spellEnd"/>
      <w:r w:rsidRPr="00C820C1">
        <w:t>, S. A., Bryan-</w:t>
      </w:r>
      <w:proofErr w:type="spellStart"/>
      <w:r w:rsidRPr="00C820C1">
        <w:t>Scaggs</w:t>
      </w:r>
      <w:proofErr w:type="spellEnd"/>
      <w:r w:rsidRPr="00C820C1">
        <w:t xml:space="preserve">, K., Boyer, R. H. W., &amp; Xiang, W. N. (2020). Conserving biodiversity takes a plan: How planners implement ecological information for biodiversity conservation. </w:t>
      </w:r>
      <w:proofErr w:type="spellStart"/>
      <w:r w:rsidRPr="00C820C1">
        <w:rPr>
          <w:i/>
          <w:iCs/>
        </w:rPr>
        <w:t>Ambio</w:t>
      </w:r>
      <w:proofErr w:type="spellEnd"/>
      <w:r w:rsidRPr="00C820C1">
        <w:t xml:space="preserve">, </w:t>
      </w:r>
      <w:r w:rsidRPr="00C820C1">
        <w:rPr>
          <w:i/>
          <w:iCs/>
        </w:rPr>
        <w:t>49</w:t>
      </w:r>
      <w:r w:rsidRPr="00C820C1">
        <w:t>(9), 1490–1505. https://doi.org/10.1007/s13280-019-01281-z</w:t>
      </w:r>
      <w:r w:rsidRPr="00C820C1">
        <w:br/>
      </w:r>
      <w:r w:rsidRPr="00C820C1">
        <w:br/>
        <w:t xml:space="preserve">Gardiner, N. B., Liggett, D., Gilbert, N., &amp; </w:t>
      </w:r>
      <w:proofErr w:type="spellStart"/>
      <w:r w:rsidRPr="00C820C1">
        <w:t>Cvitanovic</w:t>
      </w:r>
      <w:proofErr w:type="spellEnd"/>
      <w:r w:rsidRPr="00C820C1">
        <w:t xml:space="preserve">, C. (2024). Practitioners’ perspectives on the enablers and barriers to successful Antarctic science-policy knowledge exchange. </w:t>
      </w:r>
      <w:r w:rsidRPr="00C820C1">
        <w:rPr>
          <w:i/>
          <w:iCs/>
        </w:rPr>
        <w:t>Environmental Policy and Governance</w:t>
      </w:r>
      <w:r w:rsidRPr="00C820C1">
        <w:t>. https://doi.org/10.1002/eet.2143</w:t>
      </w:r>
      <w:r w:rsidRPr="00C820C1">
        <w:br/>
      </w:r>
      <w:r w:rsidRPr="00C820C1">
        <w:br/>
      </w:r>
      <w:proofErr w:type="spellStart"/>
      <w:r w:rsidRPr="00C820C1">
        <w:t>Giebels</w:t>
      </w:r>
      <w:proofErr w:type="spellEnd"/>
      <w:r w:rsidRPr="00C820C1">
        <w:t xml:space="preserve">, D., van </w:t>
      </w:r>
      <w:proofErr w:type="spellStart"/>
      <w:r w:rsidRPr="00C820C1">
        <w:t>Buuren</w:t>
      </w:r>
      <w:proofErr w:type="spellEnd"/>
      <w:r w:rsidRPr="00C820C1">
        <w:t xml:space="preserve">, A., &amp; </w:t>
      </w:r>
      <w:proofErr w:type="spellStart"/>
      <w:r w:rsidRPr="00C820C1">
        <w:t>Edelenbos</w:t>
      </w:r>
      <w:proofErr w:type="spellEnd"/>
      <w:r w:rsidRPr="00C820C1">
        <w:t xml:space="preserve">, J. (2015). Using knowledge in a complex decision-making process - Evidence and principles from the Danish Houting project’s </w:t>
      </w:r>
      <w:r w:rsidRPr="00C820C1">
        <w:lastRenderedPageBreak/>
        <w:t xml:space="preserve">ecosystem-based management approach. </w:t>
      </w:r>
      <w:r w:rsidRPr="00C820C1">
        <w:rPr>
          <w:i/>
          <w:iCs/>
        </w:rPr>
        <w:t>Environmental Science &amp; Policy</w:t>
      </w:r>
      <w:r w:rsidRPr="00C820C1">
        <w:t xml:space="preserve">, </w:t>
      </w:r>
      <w:r w:rsidRPr="00C820C1">
        <w:rPr>
          <w:i/>
          <w:iCs/>
        </w:rPr>
        <w:t>47</w:t>
      </w:r>
      <w:r w:rsidRPr="00C820C1">
        <w:t>, 53–67. https://doi.org/10.1016/j.envsci.2014.10.015</w:t>
      </w:r>
      <w:r w:rsidRPr="00C820C1">
        <w:br/>
      </w:r>
      <w:r w:rsidRPr="00C820C1">
        <w:br/>
      </w:r>
      <w:proofErr w:type="spellStart"/>
      <w:r w:rsidRPr="00C820C1">
        <w:t>Giehl</w:t>
      </w:r>
      <w:proofErr w:type="spellEnd"/>
      <w:r w:rsidRPr="00C820C1">
        <w:t xml:space="preserve">, E. L. H., Moretti, M., Walsh, J. C., </w:t>
      </w:r>
      <w:proofErr w:type="spellStart"/>
      <w:r w:rsidRPr="00C820C1">
        <w:t>Batalha</w:t>
      </w:r>
      <w:proofErr w:type="spellEnd"/>
      <w:r w:rsidRPr="00C820C1">
        <w:t xml:space="preserve">, M. A., &amp; Cook, C. N. (2017). Scientific evidence and potential barriers in the management of Brazilian protected areas. </w:t>
      </w:r>
      <w:proofErr w:type="spellStart"/>
      <w:r w:rsidRPr="00C820C1">
        <w:rPr>
          <w:i/>
          <w:iCs/>
        </w:rPr>
        <w:t>PloS</w:t>
      </w:r>
      <w:proofErr w:type="spellEnd"/>
      <w:r w:rsidRPr="00C820C1">
        <w:rPr>
          <w:i/>
          <w:iCs/>
        </w:rPr>
        <w:t xml:space="preserve"> One</w:t>
      </w:r>
      <w:r w:rsidRPr="00C820C1">
        <w:t xml:space="preserve">, </w:t>
      </w:r>
      <w:r w:rsidRPr="00C820C1">
        <w:rPr>
          <w:i/>
          <w:iCs/>
        </w:rPr>
        <w:t>12</w:t>
      </w:r>
      <w:r w:rsidRPr="00C820C1">
        <w:t>(1). https://doi.org/10.1371/journal.pone.0169917</w:t>
      </w:r>
      <w:r w:rsidRPr="00C820C1">
        <w:br/>
      </w:r>
      <w:r w:rsidRPr="00C820C1">
        <w:br/>
        <w:t xml:space="preserve">Goggin, C. L., Barrett, T., Leys, J., </w:t>
      </w:r>
      <w:proofErr w:type="spellStart"/>
      <w:r w:rsidRPr="00C820C1">
        <w:t>Summerell</w:t>
      </w:r>
      <w:proofErr w:type="spellEnd"/>
      <w:r w:rsidRPr="00C820C1">
        <w:t xml:space="preserve">, G., </w:t>
      </w:r>
      <w:proofErr w:type="spellStart"/>
      <w:r w:rsidRPr="00C820C1">
        <w:t>Gorrod</w:t>
      </w:r>
      <w:proofErr w:type="spellEnd"/>
      <w:r w:rsidRPr="00C820C1">
        <w:t xml:space="preserve">, E., Waters, S., </w:t>
      </w:r>
      <w:proofErr w:type="spellStart"/>
      <w:r w:rsidRPr="00C820C1">
        <w:t>Littleboy</w:t>
      </w:r>
      <w:proofErr w:type="spellEnd"/>
      <w:r w:rsidRPr="00C820C1">
        <w:t xml:space="preserve">, M., Auld, T. D., </w:t>
      </w:r>
      <w:proofErr w:type="spellStart"/>
      <w:r w:rsidRPr="00C820C1">
        <w:t>Drielsma</w:t>
      </w:r>
      <w:proofErr w:type="spellEnd"/>
      <w:r w:rsidRPr="00C820C1">
        <w:t xml:space="preserve">, M. J., &amp; Jenkins, B. R. (2019). Incorporating social dimensions in planning, managing and evaluating environmental projects. </w:t>
      </w:r>
      <w:r w:rsidRPr="00C820C1">
        <w:rPr>
          <w:i/>
          <w:iCs/>
        </w:rPr>
        <w:t>Environmental Management</w:t>
      </w:r>
      <w:r w:rsidRPr="00C820C1">
        <w:t xml:space="preserve">, </w:t>
      </w:r>
      <w:r w:rsidRPr="00C820C1">
        <w:rPr>
          <w:i/>
          <w:iCs/>
        </w:rPr>
        <w:t>63</w:t>
      </w:r>
      <w:r w:rsidRPr="00C820C1">
        <w:t>(2), 215–232. https://doi.org/10.1007/s00267-018-01131-w</w:t>
      </w:r>
      <w:r w:rsidRPr="00C820C1">
        <w:br/>
      </w:r>
      <w:r w:rsidRPr="00C820C1">
        <w:br/>
        <w:t xml:space="preserve">González, A., </w:t>
      </w:r>
      <w:proofErr w:type="spellStart"/>
      <w:r w:rsidRPr="00C820C1">
        <w:t>Keneghan</w:t>
      </w:r>
      <w:proofErr w:type="spellEnd"/>
      <w:r w:rsidRPr="00C820C1">
        <w:t xml:space="preserve">, D., Fry, J., &amp; Hochstrasser, T. (2014). Current practice in biodiversity impact assessment and prospects for developing an integrated process. </w:t>
      </w:r>
      <w:r w:rsidRPr="00C820C1">
        <w:rPr>
          <w:i/>
          <w:iCs/>
        </w:rPr>
        <w:t>Impact Assessment and Project Appraisal</w:t>
      </w:r>
      <w:r w:rsidRPr="00C820C1">
        <w:t xml:space="preserve">, </w:t>
      </w:r>
      <w:r w:rsidRPr="00C820C1">
        <w:rPr>
          <w:i/>
          <w:iCs/>
        </w:rPr>
        <w:t>32</w:t>
      </w:r>
      <w:r w:rsidRPr="00C820C1">
        <w:t>(1), 31–42. https://doi.org/10.1080/14615517.2013.850839</w:t>
      </w:r>
      <w:r w:rsidRPr="00C820C1">
        <w:br/>
      </w:r>
      <w:r w:rsidRPr="00C820C1">
        <w:br/>
      </w:r>
      <w:proofErr w:type="spellStart"/>
      <w:r w:rsidRPr="00C820C1">
        <w:t>Gootee</w:t>
      </w:r>
      <w:proofErr w:type="spellEnd"/>
      <w:r w:rsidRPr="00C820C1">
        <w:t xml:space="preserve">, R. S., </w:t>
      </w:r>
      <w:proofErr w:type="spellStart"/>
      <w:r w:rsidRPr="00C820C1">
        <w:t>Blatner</w:t>
      </w:r>
      <w:proofErr w:type="spellEnd"/>
      <w:r w:rsidRPr="00C820C1">
        <w:t xml:space="preserve">, K. A., Baumgartner, D. M., Carroll, M. S., &amp; Weber, E. P. (2010). Choosing What to Believe About Forests: Differences Between Professional and Non-Professional Evaluative Criteria. </w:t>
      </w:r>
      <w:r w:rsidRPr="00C820C1">
        <w:rPr>
          <w:i/>
          <w:iCs/>
        </w:rPr>
        <w:t>Small Scale Forestry</w:t>
      </w:r>
      <w:r w:rsidRPr="00C820C1">
        <w:t xml:space="preserve">, </w:t>
      </w:r>
      <w:r w:rsidRPr="00C820C1">
        <w:rPr>
          <w:i/>
          <w:iCs/>
        </w:rPr>
        <w:t>9</w:t>
      </w:r>
      <w:r w:rsidRPr="00C820C1">
        <w:t>(2), 137–152. https://doi.org/10.1007/s11842-010-9113-3</w:t>
      </w:r>
      <w:r w:rsidRPr="00C820C1">
        <w:br/>
      </w:r>
      <w:r w:rsidRPr="00C820C1">
        <w:br/>
      </w:r>
      <w:proofErr w:type="spellStart"/>
      <w:r w:rsidRPr="00C820C1">
        <w:t>Gossa</w:t>
      </w:r>
      <w:proofErr w:type="spellEnd"/>
      <w:r w:rsidRPr="00C820C1">
        <w:t xml:space="preserve">, C., Fisher, M., &amp; Milner-Gulland, E. J. (2015). The research-implementation gap: How practitioners and researchers from developing countries perceive the role of peer-reviewed literature in conservation science. </w:t>
      </w:r>
      <w:r w:rsidRPr="00C820C1">
        <w:rPr>
          <w:i/>
          <w:iCs/>
        </w:rPr>
        <w:t>Oryx: The Journal of the Fauna Preservation Society</w:t>
      </w:r>
      <w:r w:rsidRPr="00C820C1">
        <w:t xml:space="preserve">, </w:t>
      </w:r>
      <w:r w:rsidRPr="00C820C1">
        <w:rPr>
          <w:i/>
          <w:iCs/>
        </w:rPr>
        <w:t>49</w:t>
      </w:r>
      <w:r w:rsidRPr="00C820C1">
        <w:t>(1), 80–87. https://doi.org/10.1017/S0030605313001634</w:t>
      </w:r>
      <w:r w:rsidRPr="00C820C1">
        <w:br/>
      </w:r>
      <w:r w:rsidRPr="00C820C1">
        <w:br/>
        <w:t xml:space="preserve">Grand, L., Messer, K. D., &amp; Allen, W. (2017). Understanding and Overcoming the Barriers for Cost-effective Conservation. </w:t>
      </w:r>
      <w:r w:rsidRPr="00C820C1">
        <w:rPr>
          <w:i/>
          <w:iCs/>
        </w:rPr>
        <w:t>Ecological Economics</w:t>
      </w:r>
      <w:r w:rsidRPr="00C820C1">
        <w:t xml:space="preserve">, </w:t>
      </w:r>
      <w:r w:rsidRPr="00C820C1">
        <w:rPr>
          <w:i/>
          <w:iCs/>
        </w:rPr>
        <w:t>138</w:t>
      </w:r>
      <w:r w:rsidRPr="00C820C1">
        <w:t>, 139–144. https://doi.org/10.1016/j.ecolecon.2017.03.027</w:t>
      </w:r>
      <w:r w:rsidRPr="00C820C1">
        <w:br/>
      </w:r>
      <w:r w:rsidRPr="00C820C1">
        <w:br/>
        <w:t xml:space="preserve">Greggor, A. L., Berger-Tal, O., </w:t>
      </w:r>
      <w:proofErr w:type="spellStart"/>
      <w:r w:rsidRPr="00C820C1">
        <w:t>Swaisgood</w:t>
      </w:r>
      <w:proofErr w:type="spellEnd"/>
      <w:r w:rsidRPr="00C820C1">
        <w:t xml:space="preserve">, R. R., Cooke, S. J., </w:t>
      </w:r>
      <w:proofErr w:type="spellStart"/>
      <w:r w:rsidRPr="00C820C1">
        <w:t>DeVault</w:t>
      </w:r>
      <w:proofErr w:type="spellEnd"/>
      <w:r w:rsidRPr="00C820C1">
        <w:t>, T. L., Fernández-</w:t>
      </w:r>
      <w:proofErr w:type="spellStart"/>
      <w:r w:rsidRPr="00C820C1">
        <w:t>Juricic</w:t>
      </w:r>
      <w:proofErr w:type="spellEnd"/>
      <w:r w:rsidRPr="00C820C1">
        <w:t xml:space="preserve">, E., Gienapp, A., Hall, S., Hostetter, C., Owen, M. A., Rankin, S., Ruppert, K. A., Swaddle, J. P., &amp; Blumstein, D. T. (2021). Using Change Models to Envision Better Applications of Animal </w:t>
      </w:r>
      <w:proofErr w:type="spellStart"/>
      <w:r w:rsidRPr="00C820C1">
        <w:t>Behavior</w:t>
      </w:r>
      <w:proofErr w:type="spellEnd"/>
      <w:r w:rsidRPr="00C820C1">
        <w:t xml:space="preserve"> Research in Conservation Management and Beyond. </w:t>
      </w:r>
      <w:r w:rsidRPr="00C820C1">
        <w:rPr>
          <w:i/>
          <w:iCs/>
        </w:rPr>
        <w:t>Frontiers in Conservation Science</w:t>
      </w:r>
      <w:r w:rsidRPr="00C820C1">
        <w:t xml:space="preserve">, </w:t>
      </w:r>
      <w:r w:rsidRPr="00C820C1">
        <w:rPr>
          <w:i/>
          <w:iCs/>
        </w:rPr>
        <w:t>2</w:t>
      </w:r>
      <w:r w:rsidRPr="00C820C1">
        <w:t>. https://doi.org/10.3389/fcosc.2021.653056</w:t>
      </w:r>
      <w:r w:rsidRPr="00C820C1">
        <w:br/>
      </w:r>
      <w:r w:rsidRPr="00C820C1">
        <w:br/>
      </w:r>
      <w:proofErr w:type="spellStart"/>
      <w:r w:rsidRPr="00C820C1">
        <w:t>Juhola</w:t>
      </w:r>
      <w:proofErr w:type="spellEnd"/>
      <w:r w:rsidRPr="00C820C1">
        <w:t xml:space="preserve">, S., </w:t>
      </w:r>
      <w:proofErr w:type="spellStart"/>
      <w:r w:rsidRPr="00C820C1">
        <w:t>Huotari</w:t>
      </w:r>
      <w:proofErr w:type="spellEnd"/>
      <w:r w:rsidRPr="00C820C1">
        <w:t xml:space="preserve">, E., </w:t>
      </w:r>
      <w:proofErr w:type="spellStart"/>
      <w:r w:rsidRPr="00C820C1">
        <w:t>Kolehmainen</w:t>
      </w:r>
      <w:proofErr w:type="spellEnd"/>
      <w:r w:rsidRPr="00C820C1">
        <w:t>, L., Silfverberg, O., &amp; Korhonen-</w:t>
      </w:r>
      <w:proofErr w:type="spellStart"/>
      <w:r w:rsidRPr="00C820C1">
        <w:t>Kurki</w:t>
      </w:r>
      <w:proofErr w:type="spellEnd"/>
      <w:r w:rsidRPr="00C820C1">
        <w:t xml:space="preserve">, K. (2024). Knowledge brokering at the environmental science-policy interface - examining structure and activity. </w:t>
      </w:r>
      <w:r w:rsidRPr="00C820C1">
        <w:rPr>
          <w:i/>
          <w:iCs/>
        </w:rPr>
        <w:t>Environmental Science &amp; Policy</w:t>
      </w:r>
      <w:r w:rsidRPr="00C820C1">
        <w:t xml:space="preserve">, </w:t>
      </w:r>
      <w:r w:rsidRPr="00C820C1">
        <w:rPr>
          <w:i/>
          <w:iCs/>
        </w:rPr>
        <w:t>153</w:t>
      </w:r>
      <w:r w:rsidRPr="00C820C1">
        <w:t>. https://doi.org/10.1016/j.envsci.2024.103672</w:t>
      </w:r>
      <w:r w:rsidRPr="00C820C1">
        <w:br/>
      </w:r>
      <w:r w:rsidRPr="00C820C1">
        <w:br/>
        <w:t>Karam-</w:t>
      </w:r>
      <w:proofErr w:type="spellStart"/>
      <w:r w:rsidRPr="00C820C1">
        <w:t>Gemael</w:t>
      </w:r>
      <w:proofErr w:type="spellEnd"/>
      <w:r w:rsidRPr="00C820C1">
        <w:t xml:space="preserve">, M., Loyola, R., Penha, J., &amp; Izzo, T. (2018). Poor alignment of priorities between scientists and policymakers highlights the need for evidence-informed conservation in Brazil. </w:t>
      </w:r>
      <w:r w:rsidRPr="00C820C1">
        <w:rPr>
          <w:i/>
          <w:iCs/>
        </w:rPr>
        <w:t>Perspectives in Ecology and Conservation</w:t>
      </w:r>
      <w:r w:rsidRPr="00C820C1">
        <w:t xml:space="preserve">, </w:t>
      </w:r>
      <w:r w:rsidRPr="00C820C1">
        <w:rPr>
          <w:i/>
          <w:iCs/>
        </w:rPr>
        <w:t>16</w:t>
      </w:r>
      <w:r w:rsidRPr="00C820C1">
        <w:t>(3), 125–132. https://doi.org/10.1016/j.pecon.2018.06.002</w:t>
      </w:r>
      <w:r w:rsidRPr="00C820C1">
        <w:br/>
      </w:r>
      <w:r w:rsidRPr="00C820C1">
        <w:br/>
      </w:r>
      <w:proofErr w:type="spellStart"/>
      <w:r w:rsidRPr="00C820C1">
        <w:t>Karcher</w:t>
      </w:r>
      <w:proofErr w:type="spellEnd"/>
      <w:r w:rsidRPr="00C820C1">
        <w:t xml:space="preserve">, D. B., </w:t>
      </w:r>
      <w:proofErr w:type="spellStart"/>
      <w:r w:rsidRPr="00C820C1">
        <w:t>Cvitanovic</w:t>
      </w:r>
      <w:proofErr w:type="spellEnd"/>
      <w:r w:rsidRPr="00C820C1">
        <w:t xml:space="preserve">, C., Colvin, R. M., van </w:t>
      </w:r>
      <w:proofErr w:type="spellStart"/>
      <w:r w:rsidRPr="00C820C1">
        <w:t>Putten</w:t>
      </w:r>
      <w:proofErr w:type="spellEnd"/>
      <w:r w:rsidRPr="00C820C1">
        <w:t xml:space="preserve">, I., </w:t>
      </w:r>
      <w:proofErr w:type="spellStart"/>
      <w:r w:rsidRPr="00C820C1">
        <w:t>Pozza</w:t>
      </w:r>
      <w:proofErr w:type="spellEnd"/>
      <w:r w:rsidRPr="00C820C1">
        <w:t xml:space="preserve">, R. D., &amp; Posner, S. (2025). Key attributes for effective knowledge brokering at the interface of environmental </w:t>
      </w:r>
      <w:r w:rsidRPr="00C820C1">
        <w:lastRenderedPageBreak/>
        <w:t xml:space="preserve">science and management. </w:t>
      </w:r>
      <w:r w:rsidRPr="00C820C1">
        <w:rPr>
          <w:i/>
          <w:iCs/>
        </w:rPr>
        <w:t>Sustainability Science</w:t>
      </w:r>
      <w:r w:rsidRPr="00C820C1">
        <w:t xml:space="preserve">, </w:t>
      </w:r>
      <w:r w:rsidRPr="00C820C1">
        <w:rPr>
          <w:i/>
          <w:iCs/>
        </w:rPr>
        <w:t>20</w:t>
      </w:r>
      <w:r w:rsidRPr="00C820C1">
        <w:t>(1), 117–133. https://doi.org/10.1007/s11625-024-01575-6</w:t>
      </w:r>
      <w:r w:rsidRPr="00C820C1">
        <w:br/>
      </w:r>
      <w:r w:rsidRPr="00C820C1">
        <w:br/>
      </w:r>
      <w:proofErr w:type="spellStart"/>
      <w:r w:rsidRPr="00C820C1">
        <w:t>Kartez</w:t>
      </w:r>
      <w:proofErr w:type="spellEnd"/>
      <w:r w:rsidRPr="00C820C1">
        <w:t xml:space="preserve">, J. D., &amp; </w:t>
      </w:r>
      <w:proofErr w:type="spellStart"/>
      <w:r w:rsidRPr="00C820C1">
        <w:t>Casto</w:t>
      </w:r>
      <w:proofErr w:type="spellEnd"/>
      <w:r w:rsidRPr="00C820C1">
        <w:t xml:space="preserve">, M. P. (2008). Information Into Action Biodiversity Data Outreach and Municipal Land Conservation. </w:t>
      </w:r>
      <w:r w:rsidRPr="00C820C1">
        <w:rPr>
          <w:i/>
          <w:iCs/>
        </w:rPr>
        <w:t>Journal of the American Planning Association. American Planning Association</w:t>
      </w:r>
      <w:r w:rsidRPr="00C820C1">
        <w:t xml:space="preserve">, </w:t>
      </w:r>
      <w:r w:rsidRPr="00C820C1">
        <w:rPr>
          <w:i/>
          <w:iCs/>
        </w:rPr>
        <w:t>74</w:t>
      </w:r>
      <w:r w:rsidRPr="00C820C1">
        <w:t>(4), 467–480. https://doi.org/10.1080/01944360802378096</w:t>
      </w:r>
      <w:r w:rsidRPr="00C820C1">
        <w:br/>
      </w:r>
      <w:r w:rsidRPr="00C820C1">
        <w:br/>
        <w:t xml:space="preserve">Koehn, J. D., Balcombe, S. R., &amp; </w:t>
      </w:r>
      <w:proofErr w:type="spellStart"/>
      <w:r w:rsidRPr="00C820C1">
        <w:t>Zampatti</w:t>
      </w:r>
      <w:proofErr w:type="spellEnd"/>
      <w:r w:rsidRPr="00C820C1">
        <w:t xml:space="preserve">, B. P. (2019). Fish and flow management in the Murray-Darling Basin: Directions for research. </w:t>
      </w:r>
      <w:r w:rsidRPr="00C820C1">
        <w:rPr>
          <w:i/>
          <w:iCs/>
        </w:rPr>
        <w:t>Ecological Management &amp; Restoration</w:t>
      </w:r>
      <w:r w:rsidRPr="00C820C1">
        <w:t xml:space="preserve">, </w:t>
      </w:r>
      <w:r w:rsidRPr="00C820C1">
        <w:rPr>
          <w:i/>
          <w:iCs/>
        </w:rPr>
        <w:t>20</w:t>
      </w:r>
      <w:r w:rsidRPr="00C820C1">
        <w:t>(2), 142–150. https://doi.org/10.1111/emr.12358</w:t>
      </w:r>
      <w:r w:rsidRPr="00C820C1">
        <w:br/>
      </w:r>
      <w:r w:rsidRPr="00C820C1">
        <w:br/>
        <w:t xml:space="preserve">Kuiper, T., Ngwenya, N., </w:t>
      </w:r>
      <w:proofErr w:type="spellStart"/>
      <w:r w:rsidRPr="00C820C1">
        <w:t>Kavhu</w:t>
      </w:r>
      <w:proofErr w:type="spellEnd"/>
      <w:r w:rsidRPr="00C820C1">
        <w:t xml:space="preserve">, B., </w:t>
      </w:r>
      <w:proofErr w:type="spellStart"/>
      <w:r w:rsidRPr="00C820C1">
        <w:t>Mandisodza-Chikerema</w:t>
      </w:r>
      <w:proofErr w:type="spellEnd"/>
      <w:r w:rsidRPr="00C820C1">
        <w:t xml:space="preserve">, R., &amp; Milner-Gulland, E. J. (2023). Making adaptive management more user friendly to encourage manager buy-in. </w:t>
      </w:r>
      <w:r w:rsidRPr="00C820C1">
        <w:rPr>
          <w:i/>
          <w:iCs/>
        </w:rPr>
        <w:t>People and Nature</w:t>
      </w:r>
      <w:r w:rsidRPr="00C820C1">
        <w:t xml:space="preserve">, </w:t>
      </w:r>
      <w:r w:rsidRPr="00C820C1">
        <w:rPr>
          <w:i/>
          <w:iCs/>
        </w:rPr>
        <w:t>5</w:t>
      </w:r>
      <w:r w:rsidRPr="00C820C1">
        <w:t>(2), 684–698. https://doi.org/10.1002/pan3.10440</w:t>
      </w:r>
      <w:r w:rsidRPr="00C820C1">
        <w:br/>
      </w:r>
      <w:r w:rsidRPr="00C820C1">
        <w:br/>
        <w:t xml:space="preserve">Lalor, B. M., &amp; Hickey, G. M. (2014). Strengthening the Role of Science in the Environmental Decision-Making Processes of Executive Government. </w:t>
      </w:r>
      <w:r w:rsidRPr="00C820C1">
        <w:rPr>
          <w:i/>
          <w:iCs/>
        </w:rPr>
        <w:t>Organization &amp; Environment</w:t>
      </w:r>
      <w:r w:rsidRPr="00C820C1">
        <w:t xml:space="preserve">, </w:t>
      </w:r>
      <w:r w:rsidRPr="00C820C1">
        <w:rPr>
          <w:i/>
          <w:iCs/>
        </w:rPr>
        <w:t>27</w:t>
      </w:r>
      <w:r w:rsidRPr="00C820C1">
        <w:t>(2), 161–180. https://doi.org/10.1177/1086026614525641</w:t>
      </w:r>
      <w:r w:rsidRPr="00C820C1">
        <w:br/>
      </w:r>
      <w:r w:rsidRPr="00C820C1">
        <w:br/>
        <w:t xml:space="preserve">Lapointe, N. W. R., Tremblay, M. A., &amp; </w:t>
      </w:r>
      <w:proofErr w:type="spellStart"/>
      <w:r w:rsidRPr="00C820C1">
        <w:t>Barna</w:t>
      </w:r>
      <w:proofErr w:type="spellEnd"/>
      <w:r w:rsidRPr="00C820C1">
        <w:t xml:space="preserve">, H. (2016). Tools for Improving the Effectiveness of Academic Partnerships in Informing Conservation Practices. </w:t>
      </w:r>
      <w:r w:rsidRPr="00C820C1">
        <w:rPr>
          <w:i/>
          <w:iCs/>
        </w:rPr>
        <w:t>Natural Areas Journal</w:t>
      </w:r>
      <w:r w:rsidRPr="00C820C1">
        <w:t xml:space="preserve">, </w:t>
      </w:r>
      <w:r w:rsidRPr="00C820C1">
        <w:rPr>
          <w:i/>
          <w:iCs/>
        </w:rPr>
        <w:t>36</w:t>
      </w:r>
      <w:r w:rsidRPr="00C820C1">
        <w:t>(1), 93–100. https://doi.org/10.3375/043.036.0116</w:t>
      </w:r>
      <w:r w:rsidRPr="00C820C1">
        <w:br/>
      </w:r>
      <w:r w:rsidRPr="00C820C1">
        <w:br/>
        <w:t xml:space="preserve">Lonsdale, J. A., Gill, A. B., </w:t>
      </w:r>
      <w:proofErr w:type="spellStart"/>
      <w:r w:rsidRPr="00C820C1">
        <w:t>Alliji</w:t>
      </w:r>
      <w:proofErr w:type="spellEnd"/>
      <w:r w:rsidRPr="00C820C1">
        <w:t xml:space="preserve">, K., </w:t>
      </w:r>
      <w:proofErr w:type="spellStart"/>
      <w:r w:rsidRPr="00C820C1">
        <w:t>Birchenough</w:t>
      </w:r>
      <w:proofErr w:type="spellEnd"/>
      <w:r w:rsidRPr="00C820C1">
        <w:t xml:space="preserve">, S. N. R., Blake, S., Buckley, H., Clarke, C., Clarke, S., Edmonds, N., Fonseca, L., </w:t>
      </w:r>
      <w:proofErr w:type="spellStart"/>
      <w:r w:rsidRPr="00C820C1">
        <w:t>Goodsir</w:t>
      </w:r>
      <w:proofErr w:type="spellEnd"/>
      <w:r w:rsidRPr="00C820C1">
        <w:t xml:space="preserve">, F., Griffith, A., Judd, A., Mulholland, R., Perry, J., Randall, K., &amp; Wood, D. (2022). It Is a Balancing Act: The Interface of Scientific Evidence and Policy in Support of Effective Marine Environmental Management. </w:t>
      </w:r>
      <w:r w:rsidRPr="00C820C1">
        <w:rPr>
          <w:i/>
          <w:iCs/>
        </w:rPr>
        <w:t>Sustainability</w:t>
      </w:r>
      <w:r w:rsidRPr="00C820C1">
        <w:t xml:space="preserve">, </w:t>
      </w:r>
      <w:r w:rsidRPr="00C820C1">
        <w:rPr>
          <w:i/>
          <w:iCs/>
        </w:rPr>
        <w:t>14</w:t>
      </w:r>
      <w:r w:rsidRPr="00C820C1">
        <w:t>(3). https://doi.org/10.3390/su14031650</w:t>
      </w:r>
      <w:r w:rsidRPr="00C820C1">
        <w:br/>
      </w:r>
      <w:r w:rsidRPr="00C820C1">
        <w:br/>
      </w:r>
      <w:proofErr w:type="spellStart"/>
      <w:r w:rsidRPr="00C820C1">
        <w:t>McConney</w:t>
      </w:r>
      <w:proofErr w:type="spellEnd"/>
      <w:r w:rsidRPr="00C820C1">
        <w:t xml:space="preserve">, P., Fanning, L., Mahon, R., &amp; Simmons, B. (2016). A first look at the science-policy interface for ocean governance in the Wider Caribbean Region. </w:t>
      </w:r>
      <w:r w:rsidRPr="00C820C1">
        <w:rPr>
          <w:i/>
          <w:iCs/>
        </w:rPr>
        <w:t>Frontiers in Marine Science</w:t>
      </w:r>
      <w:r w:rsidRPr="00C820C1">
        <w:t xml:space="preserve">, </w:t>
      </w:r>
      <w:r w:rsidRPr="00C820C1">
        <w:rPr>
          <w:i/>
          <w:iCs/>
        </w:rPr>
        <w:t>2</w:t>
      </w:r>
      <w:r w:rsidRPr="00C820C1">
        <w:t>. https://doi.org/10.3389/fmars.2015.00119</w:t>
      </w:r>
      <w:r w:rsidRPr="00C820C1">
        <w:br/>
      </w:r>
      <w:r w:rsidRPr="00C820C1">
        <w:br/>
        <w:t xml:space="preserve">Messmer, T. A., </w:t>
      </w:r>
      <w:proofErr w:type="spellStart"/>
      <w:r w:rsidRPr="00C820C1">
        <w:t>Hasenyager</w:t>
      </w:r>
      <w:proofErr w:type="spellEnd"/>
      <w:r w:rsidRPr="00C820C1">
        <w:t xml:space="preserve">, R., </w:t>
      </w:r>
      <w:proofErr w:type="spellStart"/>
      <w:r w:rsidRPr="00C820C1">
        <w:t>Burruss</w:t>
      </w:r>
      <w:proofErr w:type="spellEnd"/>
      <w:r w:rsidRPr="00C820C1">
        <w:t xml:space="preserve">, J., &amp; Liguori, S. (2013). Stakeholder contemporary knowledge needs regarding the potential effects of tall structures on sage-grouse. </w:t>
      </w:r>
      <w:r w:rsidRPr="00C820C1">
        <w:rPr>
          <w:i/>
          <w:iCs/>
        </w:rPr>
        <w:t>Human-Wildlife Interactions</w:t>
      </w:r>
      <w:r w:rsidRPr="00C820C1">
        <w:t xml:space="preserve">, </w:t>
      </w:r>
      <w:r w:rsidRPr="00C820C1">
        <w:rPr>
          <w:i/>
          <w:iCs/>
        </w:rPr>
        <w:t>7</w:t>
      </w:r>
      <w:r w:rsidRPr="00C820C1">
        <w:t>(2), 273–298.</w:t>
      </w:r>
      <w:r w:rsidRPr="00C820C1">
        <w:br/>
      </w:r>
      <w:r w:rsidRPr="00C820C1">
        <w:br/>
        <w:t xml:space="preserve">Murray, G., Randall, C., &amp; Rollins, R. (2020). Informing Protected Area Decision Making through Academic-Practitioner Collaborations. </w:t>
      </w:r>
      <w:r w:rsidRPr="00C820C1">
        <w:rPr>
          <w:i/>
          <w:iCs/>
        </w:rPr>
        <w:t>The Land</w:t>
      </w:r>
      <w:r w:rsidRPr="00C820C1">
        <w:t xml:space="preserve">, </w:t>
      </w:r>
      <w:r w:rsidRPr="00C820C1">
        <w:rPr>
          <w:i/>
          <w:iCs/>
        </w:rPr>
        <w:t>9</w:t>
      </w:r>
      <w:r w:rsidRPr="00C820C1">
        <w:t>(10). https://doi.org/10.3390/land9100375</w:t>
      </w:r>
      <w:r w:rsidRPr="00C820C1">
        <w:br/>
      </w:r>
      <w:r w:rsidRPr="00C820C1">
        <w:br/>
      </w:r>
      <w:proofErr w:type="spellStart"/>
      <w:r w:rsidRPr="00C820C1">
        <w:t>Neeff</w:t>
      </w:r>
      <w:proofErr w:type="spellEnd"/>
      <w:r w:rsidRPr="00C820C1">
        <w:t xml:space="preserve">, T., &amp; Piazza, M. (2020). How countries link forest monitoring into policy-making. </w:t>
      </w:r>
      <w:r w:rsidRPr="00C820C1">
        <w:rPr>
          <w:i/>
          <w:iCs/>
        </w:rPr>
        <w:t>Forest Policy and Economics</w:t>
      </w:r>
      <w:r w:rsidRPr="00C820C1">
        <w:t xml:space="preserve">, </w:t>
      </w:r>
      <w:r w:rsidRPr="00C820C1">
        <w:rPr>
          <w:i/>
          <w:iCs/>
        </w:rPr>
        <w:t>118</w:t>
      </w:r>
      <w:r w:rsidRPr="00C820C1">
        <w:t>. https://doi.org/10.1016/j.forpol.2020.102248</w:t>
      </w:r>
      <w:r w:rsidRPr="00C820C1">
        <w:br/>
      </w:r>
      <w:r w:rsidRPr="00C820C1">
        <w:br/>
        <w:t xml:space="preserve">Ormerod, S. J., Barlow, N. D., Marshall, E. J. P., &amp; Kerby, G. (2002). The uptake of applied ecology. </w:t>
      </w:r>
      <w:r w:rsidRPr="00C820C1">
        <w:rPr>
          <w:i/>
          <w:iCs/>
        </w:rPr>
        <w:t>The Journal of Applied Ecology</w:t>
      </w:r>
      <w:r w:rsidRPr="00C820C1">
        <w:t xml:space="preserve">, </w:t>
      </w:r>
      <w:r w:rsidRPr="00C820C1">
        <w:rPr>
          <w:i/>
          <w:iCs/>
        </w:rPr>
        <w:t>39</w:t>
      </w:r>
      <w:r w:rsidRPr="00C820C1">
        <w:t>(1), 46204. https://doi.org/10.1046/j.0021-8901.2001.00705.x</w:t>
      </w:r>
      <w:r w:rsidRPr="00C820C1">
        <w:br/>
      </w:r>
      <w:r w:rsidRPr="00C820C1">
        <w:br/>
      </w:r>
      <w:r w:rsidRPr="00C820C1">
        <w:lastRenderedPageBreak/>
        <w:t xml:space="preserve">Pelletier, D. (2020). Assessing the Effectiveness of Coastal Marine Protected Area Management: Four Learned Lessons for Science Uptake and Upscaling. </w:t>
      </w:r>
      <w:r w:rsidRPr="00C820C1">
        <w:rPr>
          <w:i/>
          <w:iCs/>
        </w:rPr>
        <w:t>Frontiers in Marine Science</w:t>
      </w:r>
      <w:r w:rsidRPr="00C820C1">
        <w:t xml:space="preserve">, </w:t>
      </w:r>
      <w:r w:rsidRPr="00C820C1">
        <w:rPr>
          <w:i/>
          <w:iCs/>
        </w:rPr>
        <w:t>7</w:t>
      </w:r>
      <w:r w:rsidRPr="00C820C1">
        <w:t>. https://doi.org/10.3389/fmars.2020.545930</w:t>
      </w:r>
      <w:r w:rsidRPr="00C820C1">
        <w:br/>
      </w:r>
      <w:r w:rsidRPr="00C820C1">
        <w:br/>
      </w:r>
      <w:proofErr w:type="spellStart"/>
      <w:r w:rsidRPr="00C820C1">
        <w:t>Petheram</w:t>
      </w:r>
      <w:proofErr w:type="spellEnd"/>
      <w:r w:rsidRPr="00C820C1">
        <w:t xml:space="preserve">, L., Stacey, N., Campbell, B. M., &amp; High, C. (2012). Using visual products derived from community research to inform natural resource management policy. </w:t>
      </w:r>
      <w:r w:rsidRPr="00C820C1">
        <w:rPr>
          <w:i/>
          <w:iCs/>
        </w:rPr>
        <w:t>Land Use Policy</w:t>
      </w:r>
      <w:r w:rsidRPr="00C820C1">
        <w:t xml:space="preserve">, </w:t>
      </w:r>
      <w:r w:rsidRPr="00C820C1">
        <w:rPr>
          <w:i/>
          <w:iCs/>
        </w:rPr>
        <w:t>29</w:t>
      </w:r>
      <w:r w:rsidRPr="00C820C1">
        <w:t>(1), 46296. https://doi.org/10.1016/j.landusepol.2011.04.002</w:t>
      </w:r>
      <w:r w:rsidRPr="00C820C1">
        <w:br/>
      </w:r>
      <w:r w:rsidRPr="00C820C1">
        <w:br/>
      </w:r>
      <w:proofErr w:type="spellStart"/>
      <w:r w:rsidRPr="00C820C1">
        <w:t>Pfaeffle</w:t>
      </w:r>
      <w:proofErr w:type="spellEnd"/>
      <w:r w:rsidRPr="00C820C1">
        <w:t xml:space="preserve">, T., Moore, M. A., Cravens, A. E., McEvoy, J., &amp; Bamzai-Dodson, A. (2022). Murky waters: divergent ways scientists, practitioners, and landowners evaluate beaver mimicry. </w:t>
      </w:r>
      <w:r w:rsidRPr="00C820C1">
        <w:rPr>
          <w:i/>
          <w:iCs/>
        </w:rPr>
        <w:t>ECOLOGY AND SOCIETY</w:t>
      </w:r>
      <w:r w:rsidRPr="00C820C1">
        <w:t xml:space="preserve">, </w:t>
      </w:r>
      <w:r w:rsidRPr="00C820C1">
        <w:rPr>
          <w:i/>
          <w:iCs/>
        </w:rPr>
        <w:t>27</w:t>
      </w:r>
      <w:r w:rsidRPr="00C820C1">
        <w:t>(1). https://doi.org/10.5751/ES-13006-270141</w:t>
      </w:r>
      <w:r w:rsidRPr="00C820C1">
        <w:br/>
      </w:r>
      <w:r w:rsidRPr="00C820C1">
        <w:br/>
      </w:r>
      <w:proofErr w:type="spellStart"/>
      <w:r w:rsidRPr="00C820C1">
        <w:t>Polejack</w:t>
      </w:r>
      <w:proofErr w:type="spellEnd"/>
      <w:r w:rsidRPr="00C820C1">
        <w:t xml:space="preserve">, A., Ramírez-Monsalve, P., &amp; </w:t>
      </w:r>
      <w:proofErr w:type="spellStart"/>
      <w:r w:rsidRPr="00C820C1">
        <w:t>Wisz</w:t>
      </w:r>
      <w:proofErr w:type="spellEnd"/>
      <w:r w:rsidRPr="00C820C1">
        <w:t xml:space="preserve">, M. S. (2023). What does </w:t>
      </w:r>
      <w:proofErr w:type="gramStart"/>
      <w:r w:rsidRPr="00C820C1">
        <w:t>integrated</w:t>
      </w:r>
      <w:proofErr w:type="gramEnd"/>
      <w:r w:rsidRPr="00C820C1">
        <w:t xml:space="preserve"> ecosystem assessment mean to policy-makers and scientists working in the Atlantic? Implications for ocean science diplomacy. </w:t>
      </w:r>
      <w:r w:rsidRPr="00C820C1">
        <w:rPr>
          <w:i/>
          <w:iCs/>
        </w:rPr>
        <w:t>Frontiers in Marine Science</w:t>
      </w:r>
      <w:r w:rsidRPr="00C820C1">
        <w:t xml:space="preserve">, </w:t>
      </w:r>
      <w:r w:rsidRPr="00C820C1">
        <w:rPr>
          <w:i/>
          <w:iCs/>
        </w:rPr>
        <w:t>10</w:t>
      </w:r>
      <w:r w:rsidRPr="00C820C1">
        <w:t>. https://doi.org/10.3389/fmars.2023.1004740</w:t>
      </w:r>
      <w:r w:rsidRPr="00C820C1">
        <w:br/>
      </w:r>
      <w:r w:rsidRPr="00C820C1">
        <w:br/>
        <w:t xml:space="preserve">Ramirez, L. F., &amp; Belcher, B. M. (2019). Stakeholder perceptions of scientific knowledge in policy processes: A Peruvian case-study of forestry policy development. </w:t>
      </w:r>
      <w:r w:rsidRPr="00C820C1">
        <w:rPr>
          <w:i/>
          <w:iCs/>
        </w:rPr>
        <w:t>Science &amp; Public Policy</w:t>
      </w:r>
      <w:r w:rsidRPr="00C820C1">
        <w:t xml:space="preserve">, </w:t>
      </w:r>
      <w:r w:rsidRPr="00C820C1">
        <w:rPr>
          <w:i/>
          <w:iCs/>
        </w:rPr>
        <w:t>46</w:t>
      </w:r>
      <w:r w:rsidRPr="00C820C1">
        <w:t>(4), 504–517. https://doi.org/10.1093/scipol/scz003</w:t>
      </w:r>
      <w:r w:rsidRPr="00C820C1">
        <w:br/>
      </w:r>
      <w:r w:rsidRPr="00C820C1">
        <w:br/>
        <w:t xml:space="preserve">Rittenhouse, J., </w:t>
      </w:r>
      <w:proofErr w:type="spellStart"/>
      <w:r w:rsidRPr="00C820C1">
        <w:t>Leites</w:t>
      </w:r>
      <w:proofErr w:type="spellEnd"/>
      <w:r w:rsidRPr="00C820C1">
        <w:t xml:space="preserve">, L., </w:t>
      </w:r>
      <w:proofErr w:type="spellStart"/>
      <w:r w:rsidRPr="00C820C1">
        <w:t>Derham</w:t>
      </w:r>
      <w:proofErr w:type="spellEnd"/>
      <w:r w:rsidRPr="00C820C1">
        <w:t xml:space="preserve">, K., &amp; Miller, S. (2018). Insights on the use of decision-support tools to sustain forest ecosystems from a case study in Pennsylvania, USA. </w:t>
      </w:r>
      <w:r w:rsidRPr="00C820C1">
        <w:rPr>
          <w:i/>
          <w:iCs/>
        </w:rPr>
        <w:t>Journal of Forestry</w:t>
      </w:r>
      <w:r w:rsidRPr="00C820C1">
        <w:t xml:space="preserve">, </w:t>
      </w:r>
      <w:r w:rsidRPr="00C820C1">
        <w:rPr>
          <w:i/>
          <w:iCs/>
        </w:rPr>
        <w:t>116</w:t>
      </w:r>
      <w:r w:rsidRPr="00C820C1">
        <w:t>(4), 391–395. https://doi.org/10.1093/jofore/fvy016</w:t>
      </w:r>
      <w:r w:rsidRPr="00C820C1">
        <w:br/>
      </w:r>
      <w:r w:rsidRPr="00C820C1">
        <w:br/>
      </w:r>
      <w:proofErr w:type="spellStart"/>
      <w:r w:rsidRPr="00C820C1">
        <w:t>Siggery</w:t>
      </w:r>
      <w:proofErr w:type="spellEnd"/>
      <w:r w:rsidRPr="00C820C1">
        <w:t xml:space="preserve">, B., </w:t>
      </w:r>
      <w:proofErr w:type="spellStart"/>
      <w:r w:rsidRPr="00C820C1">
        <w:t>Bennion</w:t>
      </w:r>
      <w:proofErr w:type="spellEnd"/>
      <w:r w:rsidRPr="00C820C1">
        <w:t xml:space="preserve">, H., Morse, S., Murphy, R., &amp; Waite, M. (2023). Practitioner perspectives on the application of palaeoecology in nature conservation. </w:t>
      </w:r>
      <w:r w:rsidRPr="00C820C1">
        <w:rPr>
          <w:i/>
          <w:iCs/>
        </w:rPr>
        <w:t>Frontiers in Ecology and Evolution</w:t>
      </w:r>
      <w:r w:rsidRPr="00C820C1">
        <w:t xml:space="preserve">, </w:t>
      </w:r>
      <w:r w:rsidRPr="00C820C1">
        <w:rPr>
          <w:i/>
          <w:iCs/>
        </w:rPr>
        <w:t>11</w:t>
      </w:r>
      <w:r w:rsidRPr="00C820C1">
        <w:t>. https://doi.org/10.3389/fevo.2023.1304510</w:t>
      </w:r>
      <w:r w:rsidRPr="00C820C1">
        <w:br/>
      </w:r>
      <w:r w:rsidRPr="00C820C1">
        <w:br/>
        <w:t xml:space="preserve">Stevens, M., &amp; Norris, D. R. (2022). A mixed methodology for evaluating use of evidence in conservation planning. </w:t>
      </w:r>
      <w:r w:rsidRPr="00C820C1">
        <w:rPr>
          <w:i/>
          <w:iCs/>
        </w:rPr>
        <w:t>Conservation Biology</w:t>
      </w:r>
      <w:r w:rsidRPr="00C820C1">
        <w:t xml:space="preserve">, </w:t>
      </w:r>
      <w:r w:rsidRPr="00C820C1">
        <w:rPr>
          <w:i/>
          <w:iCs/>
        </w:rPr>
        <w:t>36</w:t>
      </w:r>
      <w:r w:rsidRPr="00C820C1">
        <w:t>(4). https://doi.org/10.1111/cobi.13876</w:t>
      </w:r>
      <w:r w:rsidRPr="00C820C1">
        <w:br/>
      </w:r>
      <w:r w:rsidRPr="00C820C1">
        <w:br/>
        <w:t xml:space="preserve">Tambe, S., Rawat, G. S., Bhutia, N. T., Sherpa, P. N., </w:t>
      </w:r>
      <w:proofErr w:type="spellStart"/>
      <w:r w:rsidRPr="00C820C1">
        <w:t>Dhakal</w:t>
      </w:r>
      <w:proofErr w:type="spellEnd"/>
      <w:r w:rsidRPr="00C820C1">
        <w:t xml:space="preserve">, S., Pradhan, S., Kulkarni, H., &amp; </w:t>
      </w:r>
      <w:proofErr w:type="spellStart"/>
      <w:r w:rsidRPr="00C820C1">
        <w:t>Arrawatia</w:t>
      </w:r>
      <w:proofErr w:type="spellEnd"/>
      <w:r w:rsidRPr="00C820C1">
        <w:t xml:space="preserve">, M. L. (2020). Building sustainability in the Eastern Himalaya: linking evidence to action. </w:t>
      </w:r>
      <w:r w:rsidRPr="00C820C1">
        <w:rPr>
          <w:i/>
          <w:iCs/>
          <w:lang w:val="es-ES"/>
        </w:rPr>
        <w:t>Environment Development and Sustainability</w:t>
      </w:r>
      <w:r w:rsidRPr="00C820C1">
        <w:rPr>
          <w:lang w:val="es-ES"/>
        </w:rPr>
        <w:t xml:space="preserve">, </w:t>
      </w:r>
      <w:r w:rsidRPr="00C820C1">
        <w:rPr>
          <w:i/>
          <w:iCs/>
          <w:lang w:val="es-ES"/>
        </w:rPr>
        <w:t>22</w:t>
      </w:r>
      <w:r w:rsidRPr="00C820C1">
        <w:rPr>
          <w:lang w:val="es-ES"/>
        </w:rPr>
        <w:t>(6), 5887–5903. https://doi.org/10.1007/s10668-019-00456-8</w:t>
      </w:r>
      <w:r w:rsidRPr="00C820C1">
        <w:rPr>
          <w:lang w:val="es-ES"/>
        </w:rPr>
        <w:br/>
      </w:r>
      <w:r w:rsidRPr="00C820C1">
        <w:rPr>
          <w:lang w:val="es-ES"/>
        </w:rPr>
        <w:br/>
        <w:t xml:space="preserve">Valdez, J. W., Pereira, H. M., Morejón, G. F., Acosta-Muñoz, C., Bonet Garcia, F. J., Castro Vergara, L., Claros, X. R., Gill, M. J., Josse, C., Lafuente-Cartagena, I., Langstroth, R., Sheppard, S. N., Orihuela, G., Prieto-Albuja, F. J., Quillahuaman, N., Terán, M. F., Zambrana-Torrelio, C. M., Navarro, L. M., &amp; Fernandez, M. (2023). </w:t>
      </w:r>
      <w:r w:rsidRPr="00C820C1">
        <w:t xml:space="preserve">Tailoring evidence into action: Using a co-design approach for biodiversity information in the Tropical Andes. </w:t>
      </w:r>
      <w:r w:rsidRPr="00C820C1">
        <w:rPr>
          <w:i/>
          <w:iCs/>
        </w:rPr>
        <w:t>Conservation Science and Practice</w:t>
      </w:r>
      <w:r w:rsidRPr="00C820C1">
        <w:t xml:space="preserve">, </w:t>
      </w:r>
      <w:r w:rsidRPr="00C820C1">
        <w:rPr>
          <w:i/>
          <w:iCs/>
        </w:rPr>
        <w:t>5</w:t>
      </w:r>
      <w:r w:rsidRPr="00C820C1">
        <w:t>(12). https://doi.org/10.1111/csp2.13035</w:t>
      </w:r>
      <w:r w:rsidRPr="00C820C1">
        <w:br/>
      </w:r>
      <w:r w:rsidRPr="00C820C1">
        <w:br/>
        <w:t xml:space="preserve">Vimal, R., </w:t>
      </w:r>
      <w:proofErr w:type="spellStart"/>
      <w:r w:rsidRPr="00C820C1">
        <w:t>Gatiso</w:t>
      </w:r>
      <w:proofErr w:type="spellEnd"/>
      <w:r w:rsidRPr="00C820C1">
        <w:t xml:space="preserve">, T., &amp; </w:t>
      </w:r>
      <w:proofErr w:type="spellStart"/>
      <w:r w:rsidRPr="00C820C1">
        <w:t>Mathevet</w:t>
      </w:r>
      <w:proofErr w:type="spellEnd"/>
      <w:r w:rsidRPr="00C820C1">
        <w:t xml:space="preserve">, R. (2018). Monitoring in Tropical National Parks: The Power of Knowledge. </w:t>
      </w:r>
      <w:r w:rsidRPr="00C820C1">
        <w:rPr>
          <w:i/>
          <w:iCs/>
        </w:rPr>
        <w:t>Conservation &amp; Society</w:t>
      </w:r>
      <w:r w:rsidRPr="00C820C1">
        <w:t xml:space="preserve">, </w:t>
      </w:r>
      <w:r w:rsidRPr="00C820C1">
        <w:rPr>
          <w:i/>
          <w:iCs/>
        </w:rPr>
        <w:t>16</w:t>
      </w:r>
      <w:r w:rsidRPr="00C820C1">
        <w:t>(1), 76–90. https://doi.org/10.4103/cs.cs_17_12</w:t>
      </w:r>
      <w:r w:rsidRPr="00C820C1">
        <w:br/>
      </w:r>
      <w:r w:rsidRPr="00C820C1">
        <w:br/>
      </w:r>
      <w:r w:rsidRPr="00C820C1">
        <w:lastRenderedPageBreak/>
        <w:t xml:space="preserve">Young, K. D., &amp; Van </w:t>
      </w:r>
      <w:proofErr w:type="spellStart"/>
      <w:r w:rsidRPr="00C820C1">
        <w:t>Aarde</w:t>
      </w:r>
      <w:proofErr w:type="spellEnd"/>
      <w:r w:rsidRPr="00C820C1">
        <w:t xml:space="preserve">, R. J. (2011). Science and elephant management decisions in South Africa. </w:t>
      </w:r>
      <w:r w:rsidRPr="00C820C1">
        <w:rPr>
          <w:i/>
          <w:iCs/>
        </w:rPr>
        <w:t>Biological Conservation</w:t>
      </w:r>
      <w:r w:rsidRPr="00C820C1">
        <w:t xml:space="preserve">, </w:t>
      </w:r>
      <w:r w:rsidRPr="00C820C1">
        <w:rPr>
          <w:i/>
          <w:iCs/>
        </w:rPr>
        <w:t>144</w:t>
      </w:r>
      <w:r w:rsidRPr="00C820C1">
        <w:t>(2), 876–885. https://doi.org/10.1016/j.biocon.2010.11.023</w:t>
      </w:r>
      <w:r w:rsidRPr="00C820C1">
        <w:br/>
      </w:r>
      <w:r w:rsidRPr="00C820C1">
        <w:br/>
      </w:r>
      <w:proofErr w:type="spellStart"/>
      <w:r w:rsidRPr="00C820C1">
        <w:t>Zavaleta</w:t>
      </w:r>
      <w:proofErr w:type="spellEnd"/>
      <w:r w:rsidRPr="00C820C1">
        <w:t xml:space="preserve">, E., Miller, D. C., </w:t>
      </w:r>
      <w:proofErr w:type="spellStart"/>
      <w:r w:rsidRPr="00C820C1">
        <w:t>Salafsky</w:t>
      </w:r>
      <w:proofErr w:type="spellEnd"/>
      <w:r w:rsidRPr="00C820C1">
        <w:t xml:space="preserve">, N., Fleishman, E., Webster, M., Gold, B., Hulse, D., Rowen, M., Tabor, G., &amp; </w:t>
      </w:r>
      <w:proofErr w:type="spellStart"/>
      <w:r w:rsidRPr="00C820C1">
        <w:t>Vanderryn</w:t>
      </w:r>
      <w:proofErr w:type="spellEnd"/>
      <w:r w:rsidRPr="00C820C1">
        <w:t xml:space="preserve">, J. (2008). Enhancing the engagement of U.S. private foundations with conservation science. </w:t>
      </w:r>
      <w:r w:rsidRPr="00C820C1">
        <w:rPr>
          <w:i/>
          <w:iCs/>
        </w:rPr>
        <w:t>Conservation Biology</w:t>
      </w:r>
      <w:r w:rsidRPr="00C820C1">
        <w:t xml:space="preserve">, </w:t>
      </w:r>
      <w:r w:rsidRPr="00C820C1">
        <w:rPr>
          <w:i/>
          <w:iCs/>
        </w:rPr>
        <w:t>22</w:t>
      </w:r>
      <w:r w:rsidRPr="00C820C1">
        <w:t>(6), 1477–1484. https://doi.org/10.1111/j.1523-1739.2008.01046.x</w:t>
      </w:r>
    </w:p>
    <w:p w14:paraId="7087E287" w14:textId="77777777" w:rsidR="00C820C1" w:rsidRPr="00C820C1" w:rsidRDefault="00C820C1"/>
    <w:sectPr w:rsidR="00C820C1" w:rsidRPr="00C820C1" w:rsidSect="00B97531">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E491D6" w14:textId="77777777" w:rsidR="00BD72CB" w:rsidRDefault="00BD72CB" w:rsidP="00B97531">
      <w:pPr>
        <w:spacing w:line="240" w:lineRule="auto"/>
      </w:pPr>
      <w:r>
        <w:separator/>
      </w:r>
    </w:p>
  </w:endnote>
  <w:endnote w:type="continuationSeparator" w:id="0">
    <w:p w14:paraId="4E6405A2" w14:textId="77777777" w:rsidR="00BD72CB" w:rsidRDefault="00BD72CB" w:rsidP="00B975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87BEF" w14:textId="77777777" w:rsidR="00B97531" w:rsidRDefault="00B97531">
    <w:pPr>
      <w:jc w:val="center"/>
    </w:pPr>
    <w:r>
      <w:fldChar w:fldCharType="begin"/>
    </w:r>
    <w:r>
      <w:instrText>PAGE</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9C1B4" w14:textId="77777777" w:rsidR="00B97531" w:rsidRDefault="00B9753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85A0B2" w14:textId="77777777" w:rsidR="00BD72CB" w:rsidRDefault="00BD72CB" w:rsidP="00B97531">
      <w:pPr>
        <w:spacing w:line="240" w:lineRule="auto"/>
      </w:pPr>
      <w:r>
        <w:separator/>
      </w:r>
    </w:p>
  </w:footnote>
  <w:footnote w:type="continuationSeparator" w:id="0">
    <w:p w14:paraId="61A1949B" w14:textId="77777777" w:rsidR="00BD72CB" w:rsidRDefault="00BD72CB" w:rsidP="00B97531">
      <w:pPr>
        <w:spacing w:line="240" w:lineRule="auto"/>
      </w:pPr>
      <w:r>
        <w:continuationSeparator/>
      </w:r>
    </w:p>
  </w:footnote>
  <w:footnote w:id="1">
    <w:p w14:paraId="39D0ED2C" w14:textId="77777777" w:rsidR="00B97531" w:rsidRDefault="00B97531" w:rsidP="00B97531">
      <w:pPr>
        <w:spacing w:line="240" w:lineRule="auto"/>
        <w:rPr>
          <w:sz w:val="20"/>
          <w:szCs w:val="20"/>
        </w:rPr>
      </w:pPr>
      <w:r>
        <w:rPr>
          <w:vertAlign w:val="superscript"/>
        </w:rPr>
        <w:footnoteRef/>
      </w:r>
      <w:r>
        <w:rPr>
          <w:sz w:val="20"/>
          <w:szCs w:val="20"/>
        </w:rPr>
        <w:t xml:space="preserve"> We are interested in studies that focus on the preservation, protection, management, or restoration of wild biodiversity at any level (e.g. species, habitat, or ecosystem). Studies that mention terms that could include conservation such as natural resource management or fisheries, without any further detail should be considered relevant. Studies that focus on general environmental issues (e.g. pollution, agriculture, forestry) without any clear link to biodiversity conservation are not relevant. Additionally, we do not consider ecosystem services to be relevant.</w:t>
      </w:r>
    </w:p>
  </w:footnote>
  <w:footnote w:id="2">
    <w:p w14:paraId="1F27856E" w14:textId="77777777" w:rsidR="00B97531" w:rsidRDefault="00B97531" w:rsidP="00B97531">
      <w:pPr>
        <w:spacing w:line="240" w:lineRule="auto"/>
        <w:rPr>
          <w:sz w:val="18"/>
          <w:szCs w:val="18"/>
        </w:rPr>
      </w:pPr>
      <w:r>
        <w:rPr>
          <w:vertAlign w:val="superscript"/>
        </w:rPr>
        <w:footnoteRef/>
      </w:r>
      <w:r>
        <w:rPr>
          <w:sz w:val="20"/>
          <w:szCs w:val="20"/>
        </w:rPr>
        <w:t>We consider ‘policy’ to represent formal guidelines, strategies, laws, regulations, and frameworks developed by governments, ranging from local to national, or intergovernmental organisations.</w:t>
      </w:r>
    </w:p>
  </w:footnote>
  <w:footnote w:id="3">
    <w:p w14:paraId="4A369BA3" w14:textId="77777777" w:rsidR="00B97531" w:rsidRDefault="00B97531" w:rsidP="00B97531">
      <w:pPr>
        <w:spacing w:line="240" w:lineRule="auto"/>
        <w:rPr>
          <w:sz w:val="20"/>
          <w:szCs w:val="20"/>
        </w:rPr>
      </w:pPr>
      <w:r>
        <w:rPr>
          <w:vertAlign w:val="superscript"/>
        </w:rPr>
        <w:footnoteRef/>
      </w:r>
      <w:r>
        <w:rPr>
          <w:sz w:val="20"/>
          <w:szCs w:val="20"/>
        </w:rPr>
        <w:t xml:space="preserve"> We consider ‘practice’ to be the on-the-ground actions, behaviours, or management techniques applied by conservation practitioners, land managers, NGOs, or local communities.</w:t>
      </w:r>
    </w:p>
  </w:footnote>
  <w:footnote w:id="4">
    <w:p w14:paraId="2BFD8B6A" w14:textId="77777777" w:rsidR="00B97531" w:rsidRDefault="00B97531" w:rsidP="00B97531">
      <w:pPr>
        <w:spacing w:line="240" w:lineRule="auto"/>
        <w:rPr>
          <w:sz w:val="20"/>
          <w:szCs w:val="20"/>
          <w:highlight w:val="white"/>
        </w:rPr>
      </w:pPr>
      <w:r>
        <w:rPr>
          <w:vertAlign w:val="superscript"/>
        </w:rPr>
        <w:footnoteRef/>
      </w:r>
      <w:r>
        <w:rPr>
          <w:sz w:val="20"/>
          <w:szCs w:val="20"/>
        </w:rPr>
        <w:t xml:space="preserve"> We define scientific evidence as information that is systematically generated through scientific methodologies (such as experiments, systematic observations, or surveys) and documented in a transparent and reproducible manner. This includes both quantitative and qualitative data. For our purposes, scientific evidence does not include anecdotal or traditional knowledge.</w:t>
      </w:r>
    </w:p>
  </w:footnote>
  <w:footnote w:id="5">
    <w:p w14:paraId="38DA3B1F" w14:textId="77777777" w:rsidR="00B97531" w:rsidRDefault="00B97531" w:rsidP="00B97531">
      <w:pPr>
        <w:spacing w:line="240" w:lineRule="auto"/>
        <w:rPr>
          <w:sz w:val="20"/>
          <w:szCs w:val="20"/>
        </w:rPr>
      </w:pPr>
      <w:r>
        <w:rPr>
          <w:vertAlign w:val="superscript"/>
        </w:rPr>
        <w:footnoteRef/>
      </w:r>
      <w:r>
        <w:rPr>
          <w:sz w:val="20"/>
          <w:szCs w:val="20"/>
        </w:rPr>
        <w:t xml:space="preserve"> We are interested in both barriers and enablers to evidence use which could include a wide range of different issues. These could include, but is not limited to, difficulties in understanding technical scientific language, lack of relevant evidence, lack of time to consult evidence, or lack of contact with scientists.</w:t>
      </w:r>
    </w:p>
  </w:footnote>
  <w:footnote w:id="6">
    <w:p w14:paraId="271AF765" w14:textId="77777777" w:rsidR="00B97531" w:rsidRDefault="00B97531" w:rsidP="00B97531">
      <w:pPr>
        <w:spacing w:line="240" w:lineRule="auto"/>
        <w:rPr>
          <w:sz w:val="20"/>
          <w:szCs w:val="20"/>
        </w:rPr>
      </w:pPr>
      <w:r>
        <w:rPr>
          <w:vertAlign w:val="superscript"/>
        </w:rPr>
        <w:footnoteRef/>
      </w:r>
      <w:r>
        <w:rPr>
          <w:sz w:val="20"/>
          <w:szCs w:val="20"/>
        </w:rPr>
        <w:t xml:space="preserve"> We are interested in studies that focus on the preservation, protection, management, or restoration of biodiversity at any level (e.g. species, habitat, or ecosystem). Studies that do not have an explicit link to biodiversity conservation are not relevant. Additionally, we do not consider ecosystem services to be relevant.</w:t>
      </w:r>
    </w:p>
  </w:footnote>
  <w:footnote w:id="7">
    <w:p w14:paraId="50919D14" w14:textId="77777777" w:rsidR="00B97531" w:rsidRDefault="00B97531" w:rsidP="00B97531">
      <w:pPr>
        <w:spacing w:line="240" w:lineRule="auto"/>
        <w:rPr>
          <w:sz w:val="18"/>
          <w:szCs w:val="18"/>
        </w:rPr>
      </w:pPr>
      <w:r>
        <w:rPr>
          <w:vertAlign w:val="superscript"/>
        </w:rPr>
        <w:footnoteRef/>
      </w:r>
      <w:r>
        <w:rPr>
          <w:sz w:val="20"/>
          <w:szCs w:val="20"/>
        </w:rPr>
        <w:t>We consider ‘policy’ to represent formal guidelines, strategies, laws, regulations, and frameworks developed by governments, ranging from local to national, or intergovernmental organisations.</w:t>
      </w:r>
    </w:p>
  </w:footnote>
  <w:footnote w:id="8">
    <w:p w14:paraId="7D43FBBA" w14:textId="77777777" w:rsidR="00B97531" w:rsidRDefault="00B97531" w:rsidP="00B97531">
      <w:pPr>
        <w:spacing w:line="240" w:lineRule="auto"/>
        <w:rPr>
          <w:sz w:val="20"/>
          <w:szCs w:val="20"/>
        </w:rPr>
      </w:pPr>
      <w:r>
        <w:rPr>
          <w:vertAlign w:val="superscript"/>
        </w:rPr>
        <w:footnoteRef/>
      </w:r>
      <w:r>
        <w:rPr>
          <w:sz w:val="20"/>
          <w:szCs w:val="20"/>
        </w:rPr>
        <w:t xml:space="preserve"> We consider ‘practice’ to be the on-the-ground actions, behaviours, or management techniques applied by conservation practitioners, land managers, NGOs, or local communities.</w:t>
      </w:r>
    </w:p>
  </w:footnote>
  <w:footnote w:id="9">
    <w:p w14:paraId="341D0B41" w14:textId="77777777" w:rsidR="00B97531" w:rsidRDefault="00B97531" w:rsidP="00B97531">
      <w:pPr>
        <w:spacing w:line="240" w:lineRule="auto"/>
        <w:rPr>
          <w:sz w:val="20"/>
          <w:szCs w:val="20"/>
        </w:rPr>
      </w:pPr>
      <w:r>
        <w:rPr>
          <w:vertAlign w:val="superscript"/>
        </w:rPr>
        <w:footnoteRef/>
      </w:r>
      <w:r>
        <w:rPr>
          <w:sz w:val="20"/>
          <w:szCs w:val="20"/>
        </w:rPr>
        <w:t xml:space="preserve"> We define ‘use’ as use that informs a specific action, use that indirectly influences people’s understanding, and use of evidence to justify a position or action</w:t>
      </w:r>
    </w:p>
  </w:footnote>
  <w:footnote w:id="10">
    <w:p w14:paraId="594579AE" w14:textId="77777777" w:rsidR="00B97531" w:rsidRDefault="00B97531" w:rsidP="00B97531">
      <w:pPr>
        <w:spacing w:line="240" w:lineRule="auto"/>
        <w:rPr>
          <w:sz w:val="20"/>
          <w:szCs w:val="20"/>
        </w:rPr>
      </w:pPr>
      <w:r>
        <w:rPr>
          <w:vertAlign w:val="superscript"/>
        </w:rPr>
        <w:footnoteRef/>
      </w:r>
      <w:r>
        <w:rPr>
          <w:sz w:val="20"/>
          <w:szCs w:val="20"/>
        </w:rPr>
        <w:t xml:space="preserve"> We define scientific evidence as information that is generated using scientific methodologies that could be used to assess a hypothesis/question, including both quantitative and qualitative data. For our purposes, scientific evidence does not include anecdotal or traditional knowledge. It does however, include citizen science.</w:t>
      </w:r>
    </w:p>
  </w:footnote>
  <w:footnote w:id="11">
    <w:p w14:paraId="5959E379" w14:textId="77777777" w:rsidR="00B97531" w:rsidRDefault="00B97531" w:rsidP="00B97531">
      <w:pPr>
        <w:spacing w:line="240" w:lineRule="auto"/>
        <w:rPr>
          <w:sz w:val="20"/>
          <w:szCs w:val="20"/>
        </w:rPr>
      </w:pPr>
      <w:r>
        <w:rPr>
          <w:vertAlign w:val="superscript"/>
        </w:rPr>
        <w:footnoteRef/>
      </w:r>
      <w:r>
        <w:rPr>
          <w:sz w:val="20"/>
          <w:szCs w:val="20"/>
        </w:rPr>
        <w:t xml:space="preserve"> We are interested in both barriers and enablers to evidence use which could include a wide range of different issues. These could include, but is not limited to, difficulties in understanding technical scientific language, lack of relevant evidence, lack of time to consult evidence, or lack of contact with scientists.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81141"/>
    <w:multiLevelType w:val="multilevel"/>
    <w:tmpl w:val="1856F0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B050062"/>
    <w:multiLevelType w:val="multilevel"/>
    <w:tmpl w:val="D5361C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077523C"/>
    <w:multiLevelType w:val="multilevel"/>
    <w:tmpl w:val="084A4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20950393">
    <w:abstractNumId w:val="1"/>
  </w:num>
  <w:num w:numId="2" w16cid:durableId="272716551">
    <w:abstractNumId w:val="0"/>
  </w:num>
  <w:num w:numId="3" w16cid:durableId="10500389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531"/>
    <w:rsid w:val="0016061F"/>
    <w:rsid w:val="005E55F1"/>
    <w:rsid w:val="00617BD5"/>
    <w:rsid w:val="00627E74"/>
    <w:rsid w:val="007E60DE"/>
    <w:rsid w:val="00AB66DE"/>
    <w:rsid w:val="00B97531"/>
    <w:rsid w:val="00BD72CB"/>
    <w:rsid w:val="00C820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7A89B"/>
  <w15:chartTrackingRefBased/>
  <w15:docId w15:val="{6D9081BE-718D-4023-884D-F890B36DD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531"/>
    <w:pPr>
      <w:spacing w:after="0" w:line="276" w:lineRule="auto"/>
    </w:pPr>
    <w:rPr>
      <w:rFonts w:ascii="Arial" w:eastAsia="Arial" w:hAnsi="Arial" w:cs="Arial"/>
      <w:kern w:val="0"/>
      <w:sz w:val="22"/>
      <w:szCs w:val="22"/>
      <w:lang w:eastAsia="en-GB"/>
      <w14:ligatures w14:val="none"/>
    </w:rPr>
  </w:style>
  <w:style w:type="paragraph" w:styleId="Heading1">
    <w:name w:val="heading 1"/>
    <w:basedOn w:val="Normal"/>
    <w:next w:val="Normal"/>
    <w:link w:val="Heading1Char"/>
    <w:uiPriority w:val="9"/>
    <w:qFormat/>
    <w:rsid w:val="00B975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75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75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75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75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75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5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5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5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5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75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75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75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5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5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5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5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531"/>
    <w:rPr>
      <w:rFonts w:eastAsiaTheme="majorEastAsia" w:cstheme="majorBidi"/>
      <w:color w:val="272727" w:themeColor="text1" w:themeTint="D8"/>
    </w:rPr>
  </w:style>
  <w:style w:type="paragraph" w:styleId="Title">
    <w:name w:val="Title"/>
    <w:basedOn w:val="Normal"/>
    <w:next w:val="Normal"/>
    <w:link w:val="TitleChar"/>
    <w:uiPriority w:val="10"/>
    <w:qFormat/>
    <w:rsid w:val="00B975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5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5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5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531"/>
    <w:pPr>
      <w:spacing w:before="160"/>
      <w:jc w:val="center"/>
    </w:pPr>
    <w:rPr>
      <w:i/>
      <w:iCs/>
      <w:color w:val="404040" w:themeColor="text1" w:themeTint="BF"/>
    </w:rPr>
  </w:style>
  <w:style w:type="character" w:customStyle="1" w:styleId="QuoteChar">
    <w:name w:val="Quote Char"/>
    <w:basedOn w:val="DefaultParagraphFont"/>
    <w:link w:val="Quote"/>
    <w:uiPriority w:val="29"/>
    <w:rsid w:val="00B97531"/>
    <w:rPr>
      <w:i/>
      <w:iCs/>
      <w:color w:val="404040" w:themeColor="text1" w:themeTint="BF"/>
    </w:rPr>
  </w:style>
  <w:style w:type="paragraph" w:styleId="ListParagraph">
    <w:name w:val="List Paragraph"/>
    <w:basedOn w:val="Normal"/>
    <w:uiPriority w:val="34"/>
    <w:qFormat/>
    <w:rsid w:val="00B97531"/>
    <w:pPr>
      <w:ind w:left="720"/>
      <w:contextualSpacing/>
    </w:pPr>
  </w:style>
  <w:style w:type="character" w:styleId="IntenseEmphasis">
    <w:name w:val="Intense Emphasis"/>
    <w:basedOn w:val="DefaultParagraphFont"/>
    <w:uiPriority w:val="21"/>
    <w:qFormat/>
    <w:rsid w:val="00B97531"/>
    <w:rPr>
      <w:i/>
      <w:iCs/>
      <w:color w:val="0F4761" w:themeColor="accent1" w:themeShade="BF"/>
    </w:rPr>
  </w:style>
  <w:style w:type="paragraph" w:styleId="IntenseQuote">
    <w:name w:val="Intense Quote"/>
    <w:basedOn w:val="Normal"/>
    <w:next w:val="Normal"/>
    <w:link w:val="IntenseQuoteChar"/>
    <w:uiPriority w:val="30"/>
    <w:qFormat/>
    <w:rsid w:val="00B975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531"/>
    <w:rPr>
      <w:i/>
      <w:iCs/>
      <w:color w:val="0F4761" w:themeColor="accent1" w:themeShade="BF"/>
    </w:rPr>
  </w:style>
  <w:style w:type="character" w:styleId="IntenseReference">
    <w:name w:val="Intense Reference"/>
    <w:basedOn w:val="DefaultParagraphFont"/>
    <w:uiPriority w:val="32"/>
    <w:qFormat/>
    <w:rsid w:val="00B975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3628050">
      <w:bodyDiv w:val="1"/>
      <w:marLeft w:val="0"/>
      <w:marRight w:val="0"/>
      <w:marTop w:val="0"/>
      <w:marBottom w:val="0"/>
      <w:divBdr>
        <w:top w:val="none" w:sz="0" w:space="0" w:color="auto"/>
        <w:left w:val="none" w:sz="0" w:space="0" w:color="auto"/>
        <w:bottom w:val="none" w:sz="0" w:space="0" w:color="auto"/>
        <w:right w:val="none" w:sz="0" w:space="0" w:color="auto"/>
      </w:divBdr>
    </w:div>
    <w:div w:id="1921450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3835</Words>
  <Characters>21861</Characters>
  <Application>Microsoft Office Word</Application>
  <DocSecurity>0</DocSecurity>
  <Lines>182</Lines>
  <Paragraphs>51</Paragraphs>
  <ScaleCrop>false</ScaleCrop>
  <Company/>
  <LinksUpToDate>false</LinksUpToDate>
  <CharactersWithSpaces>25645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Anthony Martin</dc:creator>
  <cp:keywords/>
  <dc:description/>
  <cp:lastModifiedBy>Philip Anthony Martin</cp:lastModifiedBy>
  <cp:revision>3</cp:revision>
  <dcterms:created xsi:type="dcterms:W3CDTF">2026-01-30T14:26:00Z</dcterms:created>
  <dcterms:modified xsi:type="dcterms:W3CDTF">2026-01-31T12:17:00Z</dcterms:modified>
</cp:coreProperties>
</file>