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tbl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<w:tblPr>
        <w:tblCellMar>
          <w:top w:w="0" w:type="dxa"/>
          <w:bottom w:w="0" w:type="dxa"/>
          <w:start w:w="60" w:type="dxa"/>
          <w:end w:w="60" w:type="dxa"/>
        </w:tblCellMar>
        <w:tblW w:type="pct" w:w="100%"/>
        <w:tblLook w:firstRow="0" w:lastRow="0" w:firstColumn="0" w:lastColumn="0" w:noHBand="0" w:noVBand="0"/>
        <w:jc w:val="center"/>
      </w:tblPr>
      <w:tr>
        <w:trPr>
          <w:cantSplit/>
          <w:tblHeader/>
        </w:trPr>
        <w:tc>
          <w:tcPr>
            <w:tcBorders>
              <w:top w:val="single" w:sz="16" w:space="0" w:color="D3D3D3"/>
              <w:bottom w:val="single" w:sz="16" w:space="0" w:color="D3D3D3"/>
              <w:start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mods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df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logLik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AICc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delta</w:t>
            </w:r>
          </w:p>
        </w:tc>
        <w:tc>
          <w:tcPr>
            <w:tcBorders>
              <w:top w:val="single" w:sz="16" w:space="0" w:color="D3D3D3"/>
              <w:bottom w:val="single" w:sz="16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model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-330.99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685.08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0.00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-332.28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M11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-332.67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686.25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1.17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~perc_annual_dist*Functional_group_size.y-1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-334.29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687.33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2.25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-334.86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688.56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3.48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-336.36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~perc_annual_dist*above_below-1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689.54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4.46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-335.74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690.22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5.15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M16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-336.90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M15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~perc_annual_dist*arid_class+sqrt_inv_n_tilda-1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-336.92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690.42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5.34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M19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-338.03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~perc_annual_dist*arid_class+year.c+sqrt_inv_n_tilda-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-335.91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690.55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5.47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M20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~perc_annual_dist+sqrt_inv_n_tilda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-339.19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690.71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-338.23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690.92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5.84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M17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~perc_annual_dist*arid_class+year.c-1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-337.21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691.01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5.93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M18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~perc_annual_dist*exoskeleton+year.c-1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-337.52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691.63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6.56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M14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~perc_annual_dist+year.c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-339.95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692.24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7.16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M2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~perc_annual_dist*exoskeleton-1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-338.97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692.39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M13</w:t>
            </w:r>
          </w:p>
        </w:tc>
      </w:tr>
      <w:tr>
        <w:trPr>
          <w:cantSplit/>
        </w:trPr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center"/>
            </w:pPr>
            <w:r>
              <w:rPr>
                <w:rFonts w:ascii="Calibri" w:hAnsi="Calibri"/>
                <w:sz w:val="20"/>
              </w:rPr>
              <w:t xml:space="default">~perc_annual_dist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5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-341.31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692.86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end"/>
            </w:pPr>
            <w:r>
              <w:rPr>
                <w:rFonts w:ascii="Calibri" w:hAnsi="Calibri"/>
                <w:sz w:val="20"/>
              </w:rPr>
              <w:t xml:space="default">7.78</w:t>
            </w:r>
          </w:p>
        </w:tc>
        <w:tc>
          <w:tcPr>
            <w:tcBorders>
              <w:top w:val="single" w:space="0" w:color="D3D3D3"/>
              <w:bottom w:val="single" w:space="0" w:color="D3D3D3"/>
              <w:start w:val="single" w:space="0" w:color="D3D3D3"/>
              <w:end w:val="single" w:space="0" w:color="D3D3D3"/>
            </w:tcBorders>
          </w:tcPr>
          <w:p>
            <w:pPr>
              <w:spacing w:before="0" w:after="60"/>
              <w:keepNext/>
              <w:jc w:val="start"/>
            </w:pPr>
            <w:r>
              <w:rPr>
                <w:rFonts w:ascii="Calibri" w:hAnsi="Calibri"/>
                <w:sz w:val="20"/>
              </w:rPr>
              <w:t xml:space="default">M1</w:t>
            </w:r>
          </w:p>
        </w:tc>
      </w:tr>
    </w:tbl>
    <w:p>
      <w:pPr>
        <w:pStyle w:val="FirstParagraph"/>
      </w:pPr>
      <w:r>
        <w:t xml:space="preserve"/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2023-10-02T07:55:37Z</dcterms:created>
  <dcterms:modified xsi:type="dcterms:W3CDTF">2023-10-02T07:55:37Z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