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/>
      </w:pPr>
      <w:bookmarkStart w:colFirst="0" w:colLast="0" w:name="_yfgr4afmg2p1" w:id="0"/>
      <w:bookmarkEnd w:id="0"/>
      <w:r w:rsidDel="00000000" w:rsidR="00000000" w:rsidRPr="00000000">
        <w:rPr>
          <w:rtl w:val="0"/>
        </w:rPr>
        <w:t xml:space="preserve">Data Processing Agreement (DPA) Template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This Data Processing Agreement ("DPA")</w:t>
      </w:r>
      <w:r w:rsidDel="00000000" w:rsidR="00000000" w:rsidRPr="00000000">
        <w:rPr>
          <w:rtl w:val="0"/>
        </w:rPr>
        <w:t xml:space="preserve"> is entered into as of [Insert Date], by and between: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Controller</w:t>
      </w:r>
      <w:r w:rsidDel="00000000" w:rsidR="00000000" w:rsidRPr="00000000">
        <w:rPr>
          <w:rtl w:val="0"/>
        </w:rPr>
        <w:t xml:space="preserve">: [Insert Name], having its principal place of business at [Insert Address], ("Controller");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Processor</w:t>
      </w:r>
      <w:r w:rsidDel="00000000" w:rsidR="00000000" w:rsidRPr="00000000">
        <w:rPr>
          <w:rtl w:val="0"/>
        </w:rPr>
        <w:t xml:space="preserve">: [Insert Name], having its principal place of business at [Insert Address], ("Processor").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gnui2wctgbqh" w:id="1"/>
      <w:bookmarkEnd w:id="1"/>
      <w:r w:rsidDel="00000000" w:rsidR="00000000" w:rsidRPr="00000000">
        <w:rPr>
          <w:rtl w:val="0"/>
        </w:rPr>
        <w:t xml:space="preserve">1. Definitions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GDPR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Regulation (EU) 2016/679</w:t>
        </w:r>
      </w:hyperlink>
      <w:r w:rsidDel="00000000" w:rsidR="00000000" w:rsidRPr="00000000">
        <w:rPr>
          <w:rtl w:val="0"/>
        </w:rPr>
        <w:t xml:space="preserve"> of the European Parliament and the Council on the protection of natural persons concerning the processing of personal data and on the free movement of such data.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 Data</w:t>
      </w:r>
      <w:r w:rsidDel="00000000" w:rsidR="00000000" w:rsidRPr="00000000">
        <w:rPr>
          <w:rtl w:val="0"/>
        </w:rPr>
        <w:t xml:space="preserve">: Any information relating to an identified or identifiable natural person as defined 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Article 4(1) of the GDPR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: Any operation or set of operations performed on Personal Data as defined in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Article 4(2) of the GDPR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Breach</w:t>
      </w:r>
      <w:r w:rsidDel="00000000" w:rsidR="00000000" w:rsidRPr="00000000">
        <w:rPr>
          <w:rtl w:val="0"/>
        </w:rPr>
        <w:t xml:space="preserve">: A breach of security leading to the accidental or unlawful destruction, loss, alteration, unauthorized disclosure of, or access to Personal Data.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Sub-processor</w:t>
      </w:r>
      <w:r w:rsidDel="00000000" w:rsidR="00000000" w:rsidRPr="00000000">
        <w:rPr>
          <w:rtl w:val="0"/>
        </w:rPr>
        <w:t xml:space="preserve">: Any third party the Processor engages to assist in Processing Personal Data.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h1d8kfeidfe5" w:id="2"/>
      <w:bookmarkEnd w:id="2"/>
      <w:r w:rsidDel="00000000" w:rsidR="00000000" w:rsidRPr="00000000">
        <w:rPr>
          <w:rtl w:val="0"/>
        </w:rPr>
        <w:t xml:space="preserve">2. Subject Matter and Duration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DPA governs the Processor’s handling of Personal Data on behalf of the Controller as described in </w:t>
      </w:r>
      <w:hyperlink w:anchor="_fqramykewnr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Appendix 1: Details of Processing Activities</w:t>
        </w:r>
      </w:hyperlink>
      <w:hyperlink w:anchor="_fqramykewnr6">
        <w:r w:rsidDel="00000000" w:rsidR="00000000" w:rsidRPr="00000000">
          <w:rPr>
            <w:color w:val="1155cc"/>
            <w:u w:val="single"/>
            <w:rtl w:val="0"/>
          </w:rPr>
          <w:t xml:space="preserve">.</w:t>
        </w:r>
      </w:hyperlink>
      <w:r w:rsidDel="00000000" w:rsidR="00000000" w:rsidRPr="00000000">
        <w:rPr>
          <w:rtl w:val="0"/>
        </w:rPr>
        <w:t xml:space="preserve"> The DPA remains effective for the services provided under [Insert Main Agreement Name].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kc7ohfvkk3y0" w:id="3"/>
      <w:bookmarkEnd w:id="3"/>
      <w:r w:rsidDel="00000000" w:rsidR="00000000" w:rsidRPr="00000000">
        <w:rPr>
          <w:rtl w:val="0"/>
        </w:rPr>
        <w:t xml:space="preserve">3. Roles and Responsibilities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24z51pnnlig9" w:id="4"/>
      <w:bookmarkEnd w:id="4"/>
      <w:r w:rsidDel="00000000" w:rsidR="00000000" w:rsidRPr="00000000">
        <w:rPr>
          <w:rtl w:val="0"/>
        </w:rPr>
        <w:t xml:space="preserve">3.1 Controller Responsibilities: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Personal Data is processed in compliance with GDPR.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lawful instructions to the Processor.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 the Processor of any changes affecting the processing of Personal Data.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ftm4xmdc4g6h" w:id="5"/>
      <w:bookmarkEnd w:id="5"/>
      <w:r w:rsidDel="00000000" w:rsidR="00000000" w:rsidRPr="00000000">
        <w:rPr>
          <w:rtl w:val="0"/>
        </w:rPr>
        <w:t xml:space="preserve">3.2 Processor Responsibilities: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Process Personal Data only on documented instructions from the Controller.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appropriate technical and organizational measures to protect Personal Data.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confidentiality agreements are in place with employees and agents.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d4zim218eeg3" w:id="6"/>
      <w:bookmarkEnd w:id="6"/>
      <w:r w:rsidDel="00000000" w:rsidR="00000000" w:rsidRPr="00000000">
        <w:rPr>
          <w:rtl w:val="0"/>
        </w:rPr>
        <w:t xml:space="preserve">4. Processing Details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bkhut2o2mf4p" w:id="7"/>
      <w:bookmarkEnd w:id="7"/>
      <w:r w:rsidDel="00000000" w:rsidR="00000000" w:rsidRPr="00000000">
        <w:rPr>
          <w:rtl w:val="0"/>
        </w:rPr>
        <w:t xml:space="preserve">4.1 Purpose: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Personal Data will be processed solely for the purposes outlined in </w:t>
      </w:r>
      <w:hyperlink w:anchor="_fqramykewnr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Appendix 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ocyzc2x4tb0i" w:id="8"/>
      <w:bookmarkEnd w:id="8"/>
      <w:r w:rsidDel="00000000" w:rsidR="00000000" w:rsidRPr="00000000">
        <w:rPr>
          <w:rtl w:val="0"/>
        </w:rPr>
        <w:t xml:space="preserve">4.2 Types of Data and Data Subjects: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Detailed in </w:t>
      </w:r>
      <w:hyperlink w:anchor="_fqramykewnr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Appendix 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kbgc6khib2t" w:id="9"/>
      <w:bookmarkEnd w:id="9"/>
      <w:r w:rsidDel="00000000" w:rsidR="00000000" w:rsidRPr="00000000">
        <w:rPr>
          <w:rtl w:val="0"/>
        </w:rPr>
        <w:t xml:space="preserve">4.3 Special Categories of Data: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Processor shall not process sensitive data (e.g., health data) unless explicitly instructed by the Controller.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fzp9lj1bxypx" w:id="10"/>
      <w:bookmarkEnd w:id="10"/>
      <w:r w:rsidDel="00000000" w:rsidR="00000000" w:rsidRPr="00000000">
        <w:rPr>
          <w:rtl w:val="0"/>
        </w:rPr>
        <w:t xml:space="preserve">5. Sub-processors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Processor shall not engage sub-processors without the Controller’s prior written consent.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Sub-processors must implement security measures equivalent to those in this DPA.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Processor shall maintain a list of sub-processors and notify the Controller of changes at least 30 days in advance.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ykk7i9ub153v" w:id="11"/>
      <w:bookmarkEnd w:id="11"/>
      <w:r w:rsidDel="00000000" w:rsidR="00000000" w:rsidRPr="00000000">
        <w:rPr>
          <w:rtl w:val="0"/>
        </w:rPr>
        <w:t xml:space="preserve">6. Data Subject Rights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Processor shall assist the Controller in responding to Data Subject requests regarding: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Access, rectification, and erasure of Personal Data.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Restriction or objection to processing.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portability.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Processor shall notify the Controller of requests within [Insert Timeframe].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os4f9k4evouh" w:id="12"/>
      <w:bookmarkEnd w:id="12"/>
      <w:r w:rsidDel="00000000" w:rsidR="00000000" w:rsidRPr="00000000">
        <w:rPr>
          <w:rtl w:val="0"/>
        </w:rPr>
        <w:t xml:space="preserve">7. Security Measures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Processor shall implement the following measures to protect Personal Data: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Encryption during transmission and at rest.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Role-based access controls.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penetration testing and vulnerability assessments.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Incident response plans and regular security audits.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Staff training on data protection.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Details are provided in </w:t>
      </w:r>
      <w:hyperlink w:anchor="_y2vaqsmzje3r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Appendix 2: Security Measures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jxu93388j3ms" w:id="13"/>
      <w:bookmarkEnd w:id="13"/>
      <w:r w:rsidDel="00000000" w:rsidR="00000000" w:rsidRPr="00000000">
        <w:rPr>
          <w:rtl w:val="0"/>
        </w:rPr>
        <w:t xml:space="preserve">8. Data Breach Notification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Processor shall notify the Controller of a Data Breach within 72 hours of discovery.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notification shall include: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the breach.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Likely consequences.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Measures taken to address the breach.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s4jej6fpz3x" w:id="14"/>
      <w:bookmarkEnd w:id="14"/>
      <w:r w:rsidDel="00000000" w:rsidR="00000000" w:rsidRPr="00000000">
        <w:rPr>
          <w:rtl w:val="0"/>
        </w:rPr>
        <w:t xml:space="preserve">9. Audit Rights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Processor shall make available all necessary documentation to demonstrate GDPR compliance.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Controller may conduct audits once per year or as required by law, focusing solely on compliance.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Audits must be conducted during business hours with reasonable notice.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avdfyoaywi" w:id="15"/>
      <w:bookmarkEnd w:id="15"/>
      <w:r w:rsidDel="00000000" w:rsidR="00000000" w:rsidRPr="00000000">
        <w:rPr>
          <w:rtl w:val="0"/>
        </w:rPr>
        <w:t xml:space="preserve">10. Return or Deletion of Data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Upon termination of the agreement, the Processor shall: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Return all Personal Data to the Controller, or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 all Personal Data and certify the deletion unless retention is legally required.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ekxrqac0c0zd" w:id="16"/>
      <w:bookmarkEnd w:id="16"/>
      <w:r w:rsidDel="00000000" w:rsidR="00000000" w:rsidRPr="00000000">
        <w:rPr>
          <w:rtl w:val="0"/>
        </w:rPr>
        <w:t xml:space="preserve">11. International Data Transfers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Personal Data is transferred outside the European Economic Area (EEA):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Transfers must comply with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GDPR Chapter V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Processor shall utilize standard contractual clauses or equivalent mechanisms.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ts951onhmhwy" w:id="17"/>
      <w:bookmarkEnd w:id="17"/>
      <w:r w:rsidDel="00000000" w:rsidR="00000000" w:rsidRPr="00000000">
        <w:rPr>
          <w:rtl w:val="0"/>
        </w:rPr>
        <w:t xml:space="preserve">12. Liability and Indemnification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party shall be liable for breaches of this DPA in accordance with GDPR.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Processor’s liability shall be capped at [Insert Amount or Formula], except in cases of gross negligence or willful misconduct.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Processor shall indemnify the Controller for damages caused by non-compliance.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vwlm6ca1cq0p" w:id="18"/>
      <w:bookmarkEnd w:id="18"/>
      <w:r w:rsidDel="00000000" w:rsidR="00000000" w:rsidRPr="00000000">
        <w:rPr>
          <w:rtl w:val="0"/>
        </w:rPr>
        <w:t xml:space="preserve">13. Governing Law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DPA shall be governed by the laws of [Insert Applicable Jurisdiction], and disputes shall be resolved under [Insert Dispute Resolution Mechanism, e.g., arbitration].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j2q80nqqj5yk" w:id="19"/>
      <w:bookmarkEnd w:id="19"/>
      <w:r w:rsidDel="00000000" w:rsidR="00000000" w:rsidRPr="00000000">
        <w:rPr>
          <w:rtl w:val="0"/>
        </w:rPr>
        <w:t xml:space="preserve">14. Miscellaneous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DPA forms part of the [Insert Agreement Name] between the parties.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Amendments must be in writing and signed by both parties.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any provision is deemed invalid, the remainder shall remain enforceable.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k74czva7qeyn" w:id="20"/>
      <w:bookmarkEnd w:id="20"/>
      <w:r w:rsidDel="00000000" w:rsidR="00000000" w:rsidRPr="00000000">
        <w:rPr>
          <w:rtl w:val="0"/>
        </w:rPr>
        <w:t xml:space="preserve">15. Signatures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Controller:</w:t>
        <w:br w:type="textWrapping"/>
      </w:r>
      <w:r w:rsidDel="00000000" w:rsidR="00000000" w:rsidRPr="00000000">
        <w:rPr>
          <w:rtl w:val="0"/>
        </w:rPr>
        <w:t xml:space="preserve">Name: ___________________________</w:t>
        <w:br w:type="textWrapping"/>
        <w:t xml:space="preserve">Title: ___________________________</w:t>
        <w:br w:type="textWrapping"/>
        <w:t xml:space="preserve">Date: ___________________________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Processor:</w:t>
        <w:br w:type="textWrapping"/>
      </w:r>
      <w:r w:rsidDel="00000000" w:rsidR="00000000" w:rsidRPr="00000000">
        <w:rPr>
          <w:rtl w:val="0"/>
        </w:rPr>
        <w:t xml:space="preserve">Name: ___________________________</w:t>
        <w:br w:type="textWrapping"/>
        <w:t xml:space="preserve">Title: ___________________________</w:t>
        <w:br w:type="textWrapping"/>
        <w:t xml:space="preserve">Date: ___________________________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fqramykewnr6" w:id="21"/>
      <w:bookmarkEnd w:id="21"/>
      <w:r w:rsidDel="00000000" w:rsidR="00000000" w:rsidRPr="00000000">
        <w:rPr>
          <w:rtl w:val="0"/>
        </w:rPr>
        <w:t xml:space="preserve">Appendix 1: Details of Processing Activities</w:t>
      </w:r>
    </w:p>
    <w:tbl>
      <w:tblPr>
        <w:tblStyle w:val="Table1"/>
        <w:tblW w:w="88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5"/>
        <w:gridCol w:w="1805"/>
        <w:gridCol w:w="2075"/>
        <w:gridCol w:w="1160"/>
        <w:gridCol w:w="2015"/>
        <w:tblGridChange w:id="0">
          <w:tblGrid>
            <w:gridCol w:w="1775"/>
            <w:gridCol w:w="1805"/>
            <w:gridCol w:w="2075"/>
            <w:gridCol w:w="1160"/>
            <w:gridCol w:w="20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Subjects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Retention Period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[Insert Activity]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[Insert Subjects]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[Insert Data Types]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[Purpose]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[Retention Period]</w:t>
            </w:r>
          </w:p>
        </w:tc>
      </w:tr>
    </w:tbl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y2vaqsmzje3r" w:id="22"/>
      <w:bookmarkEnd w:id="22"/>
      <w:r w:rsidDel="00000000" w:rsidR="00000000" w:rsidRPr="00000000">
        <w:rPr>
          <w:rtl w:val="0"/>
        </w:rPr>
        <w:t xml:space="preserve">Appendix 2: Security Measures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Encryption:</w:t>
      </w:r>
      <w:r w:rsidDel="00000000" w:rsidR="00000000" w:rsidRPr="00000000">
        <w:rPr>
          <w:rtl w:val="0"/>
        </w:rPr>
        <w:t xml:space="preserve"> Data encrypted in transit and at rest.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Control:</w:t>
      </w:r>
      <w:r w:rsidDel="00000000" w:rsidR="00000000" w:rsidRPr="00000000">
        <w:rPr>
          <w:rtl w:val="0"/>
        </w:rPr>
        <w:t xml:space="preserve"> Role-based access, multifactor authentication.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Incident Management:</w:t>
      </w:r>
      <w:r w:rsidDel="00000000" w:rsidR="00000000" w:rsidRPr="00000000">
        <w:rPr>
          <w:rtl w:val="0"/>
        </w:rPr>
        <w:t xml:space="preserve"> Defined response procedures and regular testing.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Training:</w:t>
      </w:r>
      <w:r w:rsidDel="00000000" w:rsidR="00000000" w:rsidRPr="00000000">
        <w:rPr>
          <w:rtl w:val="0"/>
        </w:rPr>
        <w:t xml:space="preserve"> Annual GDPR training for all staff.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Monitoring:</w:t>
      </w:r>
      <w:r w:rsidDel="00000000" w:rsidR="00000000" w:rsidRPr="00000000">
        <w:rPr>
          <w:rtl w:val="0"/>
        </w:rPr>
        <w:t xml:space="preserve"> Continuous monitoring for anomalies and threats.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dpr-info.eu/chapter-5/" TargetMode="External"/><Relationship Id="rId5" Type="http://schemas.openxmlformats.org/officeDocument/2006/relationships/styles" Target="styles.xml"/><Relationship Id="rId6" Type="http://schemas.openxmlformats.org/officeDocument/2006/relationships/hyperlink" Target="https://eur-lex.europa.eu/legal-content/EN/TXT/?uri=CELEX%3A32016R0679" TargetMode="External"/><Relationship Id="rId7" Type="http://schemas.openxmlformats.org/officeDocument/2006/relationships/hyperlink" Target="https://gdpr-info.eu/art-4-gdpr/" TargetMode="External"/><Relationship Id="rId8" Type="http://schemas.openxmlformats.org/officeDocument/2006/relationships/hyperlink" Target="https://gdpr-info.eu/art-4-gdp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