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00"/>
      </w:pPr>
    </w:p>
    <w:p>
      <w:pPr>
        <w:pStyle w:val="Heading1"/>
        <w:spacing w:after="240" w:before="240"/>
        <w:jc w:val="center"/>
      </w:pPr>
      <w:r>
        <w:rPr>
          <w:rFonts w:ascii="Arial" w:cs="Arial" w:eastAsia="Arial" w:hAnsi="Arial"/>
          <w:b/>
          <w:bCs/>
          <w:color w:val="C4A052"/>
          <w:sz w:val="32"/>
          <w:szCs w:val="32"/>
        </w:rPr>
        <w:t xml:space="preserve">Xiphos Helios Platform</w:t>
      </w:r>
    </w:p>
    <w:p>
      <w:pPr>
        <w:spacing w:after="120"/>
        <w:jc w:val="center"/>
      </w:pPr>
      <w:r>
        <w:rPr>
          <w:rFonts w:ascii="Arial" w:cs="Arial" w:eastAsia="Arial" w:hAnsi="Arial"/>
          <w:sz w:val="28"/>
          <w:szCs w:val="28"/>
        </w:rPr>
        <w:t xml:space="preserve">Technical Manual v5.0</w:t>
      </w:r>
    </w:p>
    <w:p>
      <w:pPr>
        <w:spacing w:after="40"/>
        <w:jc w:val="center"/>
      </w:pPr>
      <w:r>
        <w:rPr>
          <w:rFonts w:ascii="Arial" w:cs="Arial" w:eastAsia="Arial" w:hAnsi="Arial"/>
          <w:sz w:val="26"/>
          <w:szCs w:val="26"/>
        </w:rPr>
        <w:t xml:space="preserve">Defense-Grade Compliance &amp; Vendor Vetting System</w:t>
      </w:r>
    </w:p>
    <w:p>
      <w:pPr>
        <w:spacing w:before="300"/>
      </w:pPr>
    </w:p>
    <w:p>
      <w:pPr>
        <w:spacing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Version:</w:t>
      </w:r>
      <w:r>
        <w:rPr>
          <w:rFonts w:ascii="Arial" w:cs="Arial" w:eastAsia="Arial" w:hAnsi="Arial"/>
          <w:sz w:val="24"/>
          <w:szCs w:val="24"/>
        </w:rPr>
        <w:t xml:space="preserve"> 5.0-FGAMLogit-DoD-Dual-Vertical</w:t>
      </w:r>
    </w:p>
    <w:p>
      <w:pPr>
        <w:spacing w:after="4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Release Date:</w:t>
      </w:r>
      <w:r>
        <w:rPr>
          <w:rFonts w:ascii="Arial" w:cs="Arial" w:eastAsia="Arial" w:hAnsi="Arial"/>
          <w:sz w:val="24"/>
          <w:szCs w:val="24"/>
        </w:rPr>
        <w:t xml:space="preserve"> March 2026</w:t>
      </w:r>
    </w:p>
    <w:p>
      <w:pPr>
        <w:jc w:val="center"/>
      </w:pPr>
      <w:r>
        <w:rPr>
          <w:rFonts w:ascii="Arial" w:cs="Arial" w:eastAsia="Arial" w:hAnsi="Arial"/>
          <w:color w:val="C4A052"/>
          <w:sz w:val="24"/>
          <w:szCs w:val="24"/>
        </w:rPr>
        <w:t xml:space="preserve">Xiphos LLC</w:t>
      </w:r>
    </w:p>
    <w:p>
      <w:r>
        <w:br w:type="page"/>
      </w:r>
    </w:p>
    <w:p>
      <w:pPr>
        <w:pStyle w:val="Heading1"/>
        <w:spacing w:after="240" w:before="240"/>
      </w:pPr>
      <w:r>
        <w:rPr>
          <w:rFonts w:ascii="Arial" w:cs="Arial" w:eastAsia="Arial" w:hAnsi="Arial"/>
          <w:b/>
          <w:bCs/>
          <w:color w:val="C4A052"/>
          <w:sz w:val="32"/>
          <w:szCs w:val="32"/>
        </w:rP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240" w:before="240"/>
      </w:pPr>
      <w:r>
        <w:rPr>
          <w:rFonts w:ascii="Arial" w:cs="Arial" w:eastAsia="Arial" w:hAnsi="Arial"/>
          <w:b/>
          <w:bCs/>
          <w:color w:val="C4A052"/>
          <w:sz w:val="32"/>
          <w:szCs w:val="32"/>
        </w:rPr>
        <w:t xml:space="preserve">Executive Summary</w:t>
      </w:r>
    </w:p>
    <w:p>
      <w:pPr>
        <w:spacing w:line="36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The Xiphos Helios Platform is a defense-grade compliance and vendor vetting system designed for Department of Defense (DoD) supply chain risk management. Helios implements a two-layer scoring architecture that combines deterministic regulatory gate evaluation with probabilistic risk modeling to deliver rapid, auditable vendor assessments.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180"/>
      </w:pPr>
      <w:r>
        <w:rPr>
          <w:rFonts w:ascii="Arial" w:cs="Arial" w:eastAsia="Arial" w:hAnsi="Arial"/>
          <w:b/>
          <w:bCs/>
          <w:color w:val="C4A052"/>
          <w:sz w:val="28"/>
          <w:szCs w:val="28"/>
        </w:rPr>
        <w:t xml:space="preserve">Key Capabilities</w:t>
      </w:r>
    </w:p>
    <w:p>
      <w:pPr>
        <w:pStyle w:val="ListParagraph"/>
        <w:numPr>
          <w:ilvl w:val="0"/>
          <w:numId w:val="{bullets-0}"/>
        </w:numPr>
      </w:pPr>
      <w:r>
        <w:rPr>
          <w:rFonts w:ascii="Arial" w:cs="Arial" w:eastAsia="Arial" w:hAnsi="Arial"/>
          <w:sz w:val="24"/>
          <w:szCs w:val="24"/>
        </w:rPr>
        <w:t xml:space="preserve">Dual-vertical architecture: Layer 1 (Regulatory Gates) + Layer 2 (FGAMLogit Probabilistic Scoring)</w:t>
      </w:r>
    </w:p>
    <w:p>
      <w:pPr>
        <w:pStyle w:val="ListParagraph"/>
        <w:numPr>
          <w:ilvl w:val="0"/>
          <w:numId w:val="{bullets-0}"/>
        </w:numPr>
      </w:pPr>
      <w:r>
        <w:rPr>
          <w:rFonts w:ascii="Arial" w:cs="Arial" w:eastAsia="Arial" w:hAnsi="Arial"/>
          <w:sz w:val="24"/>
          <w:szCs w:val="24"/>
        </w:rPr>
        <w:t xml:space="preserve">14-factor sensitivity-aware scoring with interaction terms and Wilson confidence intervals</w:t>
      </w:r>
    </w:p>
    <w:p>
      <w:pPr>
        <w:pStyle w:val="ListParagraph"/>
        <w:numPr>
          <w:ilvl w:val="0"/>
          <w:numId w:val="{bullets-0}"/>
        </w:numPr>
      </w:pPr>
      <w:r>
        <w:rPr>
          <w:rFonts w:ascii="Arial" w:cs="Arial" w:eastAsia="Arial" w:hAnsi="Arial"/>
          <w:sz w:val="24"/>
          <w:szCs w:val="24"/>
        </w:rPr>
        <w:t xml:space="preserve">10 regulatory gates: Section 889, ITAR, EAR, DFARS, CDI, CMMC 2.0, FOCI, NDAA 1260H, CFIUS, Berry</w:t>
      </w:r>
    </w:p>
    <w:p>
      <w:pPr>
        <w:pStyle w:val="ListParagraph"/>
        <w:numPr>
          <w:ilvl w:val="0"/>
          <w:numId w:val="{bullets-0}"/>
        </w:numPr>
      </w:pPr>
      <w:r>
        <w:rPr>
          <w:rFonts w:ascii="Arial" w:cs="Arial" w:eastAsia="Arial" w:hAnsi="Arial"/>
          <w:sz w:val="24"/>
          <w:szCs w:val="24"/>
        </w:rPr>
        <w:t xml:space="preserve">27 OSINT connectors with source reliability weighting (0.45–0.95)</w:t>
      </w:r>
    </w:p>
    <w:p>
      <w:pPr>
        <w:pStyle w:val="ListParagraph"/>
        <w:numPr>
          <w:ilvl w:val="0"/>
          <w:numId w:val="{bullets-0}"/>
        </w:numPr>
      </w:pPr>
      <w:r>
        <w:rPr>
          <w:rFonts w:ascii="Arial" w:cs="Arial" w:eastAsia="Arial" w:hAnsi="Arial"/>
          <w:sz w:val="24"/>
          <w:szCs w:val="24"/>
        </w:rPr>
        <w:t xml:space="preserve">Multi-source entity resolution: SEC EDGAR, GLEIF, OpenCorporates, Wikidata, SAM.gov</w:t>
      </w:r>
    </w:p>
    <w:p>
      <w:pPr>
        <w:pStyle w:val="ListParagraph"/>
        <w:numPr>
          <w:ilvl w:val="0"/>
          <w:numId w:val="{bullets-0}"/>
        </w:numPr>
      </w:pPr>
      <w:r>
        <w:rPr>
          <w:rFonts w:ascii="Arial" w:cs="Arial" w:eastAsia="Arial" w:hAnsi="Arial"/>
          <w:sz w:val="24"/>
          <w:szCs w:val="24"/>
        </w:rPr>
        <w:t xml:space="preserve">Provenance tracking and data quality scoring</w:t>
      </w:r>
    </w:p>
    <w:p>
      <w:pPr>
        <w:pStyle w:val="ListParagraph"/>
        <w:numPr>
          <w:ilvl w:val="0"/>
          <w:numId w:val="{bullets-0}"/>
        </w:numPr>
      </w:pPr>
      <w:r>
        <w:rPr>
          <w:rFonts w:ascii="Arial" w:cs="Arial" w:eastAsia="Arial" w:hAnsi="Arial"/>
          <w:sz w:val="24"/>
          <w:szCs w:val="24"/>
        </w:rPr>
        <w:t xml:space="preserve">REST API with SQLite persistence, JWT auth, and full audit logging</w:t>
      </w:r>
    </w:p>
    <w:p>
      <w:pPr>
        <w:spacing w:after="0" w:before="240"/>
      </w:pPr>
      <w:r>
        <w:t xml:space="preserve"/>
      </w:r>
    </w:p>
    <w:p>
      <w:pPr>
        <w:pStyle w:val="Heading2"/>
        <w:spacing w:after="120" w:before="180"/>
      </w:pPr>
      <w:r>
        <w:rPr>
          <w:rFonts w:ascii="Arial" w:cs="Arial" w:eastAsia="Arial" w:hAnsi="Arial"/>
          <w:b/>
          <w:bCs/>
          <w:color w:val="C4A052"/>
          <w:sz w:val="28"/>
          <w:szCs w:val="28"/>
        </w:rPr>
        <w:t xml:space="preserve">Technology Stack</w:t>
      </w:r>
    </w:p>
    <w:p>
      <w:pPr>
        <w:pStyle w:val="ListParagraph"/>
        <w:numPr>
          <w:ilvl w:val="0"/>
          <w:numId w:val="{bullets-0}"/>
        </w:numPr>
      </w:pPr>
      <w:r>
        <w:rPr>
          <w:rFonts w:ascii="Arial" w:cs="Arial" w:eastAsia="Arial" w:hAnsi="Arial"/>
          <w:sz w:val="24"/>
          <w:szCs w:val="24"/>
        </w:rPr>
        <w:t xml:space="preserve">Backend: Python 3.10+, Flask/Gunicorn, SQLite3</w:t>
      </w:r>
    </w:p>
    <w:p>
      <w:pPr>
        <w:pStyle w:val="ListParagraph"/>
        <w:numPr>
          <w:ilvl w:val="0"/>
          <w:numId w:val="{bullets-0}"/>
        </w:numPr>
      </w:pPr>
      <w:r>
        <w:rPr>
          <w:rFonts w:ascii="Arial" w:cs="Arial" w:eastAsia="Arial" w:hAnsi="Arial"/>
          <w:sz w:val="24"/>
          <w:szCs w:val="24"/>
        </w:rPr>
        <w:t xml:space="preserve">Frontend: React 18+, TypeScript, Vite</w:t>
      </w:r>
    </w:p>
    <w:p>
      <w:pPr>
        <w:pStyle w:val="ListParagraph"/>
        <w:numPr>
          <w:ilvl w:val="0"/>
          <w:numId w:val="{bullets-0}"/>
        </w:numPr>
      </w:pPr>
      <w:r>
        <w:rPr>
          <w:rFonts w:ascii="Arial" w:cs="Arial" w:eastAsia="Arial" w:hAnsi="Arial"/>
          <w:sz w:val="24"/>
          <w:szCs w:val="24"/>
        </w:rPr>
        <w:t xml:space="preserve">Infrastructure: Docker Compose, HTTPS/TLS</w:t>
      </w:r>
    </w:p>
    <w:p>
      <w:pPr>
        <w:pStyle w:val="ListParagraph"/>
        <w:numPr>
          <w:ilvl w:val="0"/>
          <w:numId w:val="{bullets-0}"/>
        </w:numPr>
      </w:pPr>
      <w:r>
        <w:rPr>
          <w:rFonts w:ascii="Arial" w:cs="Arial" w:eastAsia="Arial" w:hAnsi="Arial"/>
          <w:sz w:val="24"/>
          <w:szCs w:val="24"/>
        </w:rPr>
        <w:t xml:space="preserve">External APIs: 27 OSINT sources (all free/freemium, no paid subscriptions required)</w:t>
      </w:r>
    </w:p>
    <w:p>
      <w:r>
        <w:br w:type="page"/>
      </w:r>
    </w:p>
    <w:p>
      <w:pPr>
        <w:pStyle w:val="Heading1"/>
        <w:spacing w:after="240" w:before="240"/>
      </w:pPr>
      <w:r>
        <w:rPr>
          <w:rFonts w:ascii="Arial" w:cs="Arial" w:eastAsia="Arial" w:hAnsi="Arial"/>
          <w:b/>
          <w:bCs/>
          <w:color w:val="C4A052"/>
          <w:sz w:val="32"/>
          <w:szCs w:val="32"/>
        </w:rPr>
        <w:t xml:space="preserve">1. System Architecture</w:t>
      </w:r>
    </w:p>
    <w:p>
      <w:pPr>
        <w:spacing w:line="36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Helios implements a modular, cloud-native architecture with clear separation of concerns: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180"/>
      </w:pPr>
      <w:r>
        <w:rPr>
          <w:rFonts w:ascii="Arial" w:cs="Arial" w:eastAsia="Arial" w:hAnsi="Arial"/>
          <w:b/>
          <w:bCs/>
          <w:color w:val="C4A052"/>
          <w:sz w:val="28"/>
          <w:szCs w:val="28"/>
        </w:rPr>
        <w:t xml:space="preserve">1.1 Two-Layer Scoring Architecture</w:t>
      </w:r>
    </w:p>
    <w:p>
      <w:pPr>
        <w:spacing w:line="36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All vendor assessments pass through two sequential evaluation layers:</w:t>
      </w:r>
    </w:p>
    <w:p>
      <w:pPr>
        <w:spacing w:after="0" w:before="80"/>
      </w:pPr>
      <w:r>
        <w:t xml:space="preserve"/>
      </w:r>
    </w:p>
    <w:p>
      <w:pPr>
        <w:pStyle w:val="ListParagraph"/>
        <w:numPr>
          <w:ilvl w:val="true"/>
          <w:numId w:val="{bullets-0}"/>
        </w:numPr>
      </w:pPr>
      <w:r>
        <w:rPr>
          <w:rFonts w:ascii="Arial" w:cs="Arial" w:eastAsia="Arial" w:hAnsi="Arial"/>
          <w:sz w:val="24"/>
          <w:szCs w:val="24"/>
        </w:rPr>
        <w:t xml:space="preserve">Layer 1: Regulatory Gate Engine</w:t>
      </w:r>
    </w:p>
    <w:p>
      <w:pPr>
        <w:pStyle w:val="ListParagraph"/>
        <w:numPr>
          <w:ilvl w:val="1"/>
          <w:numId w:val="{bullets-0}"/>
        </w:numPr>
      </w:pPr>
      <w:r>
        <w:rPr>
          <w:rFonts w:ascii="Arial" w:cs="Arial" w:eastAsia="Arial" w:hAnsi="Arial"/>
          <w:sz w:val="24"/>
          <w:szCs w:val="24"/>
        </w:rPr>
        <w:t xml:space="preserve">Deterministic evaluation of 10 categorical compliance gates</w:t>
      </w:r>
    </w:p>
    <w:p>
      <w:pPr>
        <w:pStyle w:val="ListParagraph"/>
        <w:numPr>
          <w:ilvl w:val="1"/>
          <w:numId w:val="{bullets-0}"/>
        </w:numPr>
      </w:pPr>
      <w:r>
        <w:rPr>
          <w:rFonts w:ascii="Arial" w:cs="Arial" w:eastAsia="Arial" w:hAnsi="Arial"/>
          <w:sz w:val="24"/>
          <w:szCs w:val="24"/>
        </w:rPr>
        <w:t xml:space="preserve">Binary (PASS/FAIL/PENDING) outcomes per gate</w:t>
      </w:r>
    </w:p>
    <w:p>
      <w:pPr>
        <w:pStyle w:val="ListParagraph"/>
        <w:numPr>
          <w:ilvl w:val="1"/>
          <w:numId w:val="{bullets-0}"/>
        </w:numPr>
      </w:pPr>
      <w:r>
        <w:rPr>
          <w:rFonts w:ascii="Arial" w:cs="Arial" w:eastAsia="Arial" w:hAnsi="Arial"/>
          <w:sz w:val="24"/>
          <w:szCs w:val="24"/>
        </w:rPr>
        <w:t xml:space="preserve">Combined status: COMPLIANT / NON_COMPLIANT / REQUIRES_REVIEW</w:t>
      </w:r>
    </w:p>
    <w:p>
      <w:pPr>
        <w:pStyle w:val="ListParagraph"/>
        <w:numPr>
          <w:ilvl w:val="1"/>
          <w:numId w:val="{bullets-0}"/>
        </w:numPr>
      </w:pPr>
      <w:r>
        <w:rPr>
          <w:rFonts w:ascii="Arial" w:cs="Arial" w:eastAsia="Arial" w:hAnsi="Arial"/>
          <w:sz w:val="24"/>
          <w:szCs w:val="24"/>
        </w:rPr>
        <w:t xml:space="preserve">No probabilistic scoring—purely rule-based compliance check</w:t>
      </w:r>
    </w:p>
    <w:p>
      <w:pPr>
        <w:spacing w:after="0" w:before="120"/>
      </w:pPr>
      <w:r>
        <w:t xml:space="preserve"/>
      </w:r>
    </w:p>
    <w:p>
      <w:pPr>
        <w:pStyle w:val="ListParagraph"/>
        <w:numPr>
          <w:ilvl w:val="true"/>
          <w:numId w:val="{bullets-0}"/>
        </w:numPr>
      </w:pPr>
      <w:r>
        <w:rPr>
          <w:rFonts w:ascii="Arial" w:cs="Arial" w:eastAsia="Arial" w:hAnsi="Arial"/>
          <w:sz w:val="24"/>
          <w:szCs w:val="24"/>
        </w:rPr>
        <w:t xml:space="preserve">Layer 2: FGAMLogit Probabilistic Scoring (5.0)</w:t>
      </w:r>
    </w:p>
    <w:p>
      <w:pPr>
        <w:pStyle w:val="ListParagraph"/>
        <w:numPr>
          <w:ilvl w:val="1"/>
          <w:numId w:val="{bullets-0}"/>
        </w:numPr>
      </w:pPr>
      <w:r>
        <w:rPr>
          <w:rFonts w:ascii="Arial" w:cs="Arial" w:eastAsia="Arial" w:hAnsi="Arial"/>
          <w:sz w:val="24"/>
          <w:szCs w:val="24"/>
        </w:rPr>
        <w:t xml:space="preserve">Sensitivity-aware logistic regression with 14 DoD-specific factors</w:t>
      </w:r>
    </w:p>
    <w:p>
      <w:pPr>
        <w:pStyle w:val="ListParagraph"/>
        <w:numPr>
          <w:ilvl w:val="1"/>
          <w:numId w:val="{bullets-0}"/>
        </w:numPr>
      </w:pPr>
      <w:r>
        <w:rPr>
          <w:rFonts w:ascii="Arial" w:cs="Arial" w:eastAsia="Arial" w:hAnsi="Arial"/>
          <w:sz w:val="24"/>
          <w:szCs w:val="24"/>
        </w:rPr>
        <w:t xml:space="preserve">Two-way interaction terms for synergistic risk combinations</w:t>
      </w:r>
    </w:p>
    <w:p>
      <w:pPr>
        <w:pStyle w:val="ListParagraph"/>
        <w:numPr>
          <w:ilvl w:val="1"/>
          <w:numId w:val="{bullets-0}"/>
        </w:numPr>
      </w:pPr>
      <w:r>
        <w:rPr>
          <w:rFonts w:ascii="Arial" w:cs="Arial" w:eastAsia="Arial" w:hAnsi="Arial"/>
          <w:sz w:val="24"/>
          <w:szCs w:val="24"/>
        </w:rPr>
        <w:t xml:space="preserve">Applies only if Layer 1 does not hard-block (FAIL on hard-stop gates)</w:t>
      </w:r>
    </w:p>
    <w:p>
      <w:pPr>
        <w:pStyle w:val="ListParagraph"/>
        <w:numPr>
          <w:ilvl w:val="1"/>
          <w:numId w:val="{bullets-0}"/>
        </w:numPr>
      </w:pPr>
      <w:r>
        <w:rPr>
          <w:rFonts w:ascii="Arial" w:cs="Arial" w:eastAsia="Arial" w:hAnsi="Arial"/>
          <w:sz w:val="24"/>
          <w:szCs w:val="24"/>
        </w:rPr>
        <w:t xml:space="preserve">Outputs composite risk score (0–100) + Wilson confidence intervals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180"/>
      </w:pPr>
      <w:r>
        <w:rPr>
          <w:rFonts w:ascii="Arial" w:cs="Arial" w:eastAsia="Arial" w:hAnsi="Arial"/>
          <w:b/>
          <w:bCs/>
          <w:color w:val="C4A052"/>
          <w:sz w:val="28"/>
          <w:szCs w:val="28"/>
        </w:rPr>
        <w:t xml:space="preserve">1.2 Data Flow Pipeline</w:t>
      </w:r>
    </w:p>
    <w:p>
      <w:pPr>
        <w:pStyle w:val="ListParagraph"/>
        <w:numPr>
          <w:ilvl w:val="true"/>
          <w:numId w:val="{bullets-0}"/>
        </w:numPr>
      </w:pPr>
      <w:r>
        <w:rPr>
          <w:rFonts w:ascii="Arial" w:cs="Arial" w:eastAsia="Arial" w:hAnsi="Arial"/>
          <w:sz w:val="24"/>
          <w:szCs w:val="24"/>
        </w:rPr>
        <w:t xml:space="preserve">User Input → Entity Resolution → OSINT Enrichment → Scoring Augmentation → Scoring Engine → Persistence</w:t>
      </w:r>
    </w:p>
    <w:p>
      <w:pPr>
        <w:spacing w:after="0" w:before="80"/>
      </w:pPr>
      <w:r>
        <w:t xml:space="preserve"/>
      </w:r>
    </w:p>
    <w:p>
      <w:pPr>
        <w:pStyle w:val="ListParagraph"/>
        <w:numPr>
          <w:ilvl w:val="1"/>
          <w:numId w:val="{bullets-0}"/>
        </w:numPr>
      </w:pPr>
      <w:r>
        <w:rPr>
          <w:rFonts w:ascii="Arial" w:cs="Arial" w:eastAsia="Arial" w:hAnsi="Arial"/>
          <w:sz w:val="24"/>
          <w:szCs w:val="24"/>
        </w:rPr>
        <w:t xml:space="preserve">Entity Resolution: Resolve vendor name to canonical entity across 5 registries (parallel search)</w:t>
      </w:r>
    </w:p>
    <w:p>
      <w:pPr>
        <w:pStyle w:val="ListParagraph"/>
        <w:numPr>
          <w:ilvl w:val="1"/>
          <w:numId w:val="{bullets-0}"/>
        </w:numPr>
      </w:pPr>
      <w:r>
        <w:rPr>
          <w:rFonts w:ascii="Arial" w:cs="Arial" w:eastAsia="Arial" w:hAnsi="Arial"/>
          <w:sz w:val="24"/>
          <w:szCs w:val="24"/>
        </w:rPr>
        <w:t xml:space="preserve">OSINT Enrichment: Run 27 connectors concurrently, aggregate findings + identifiers + risk signals</w:t>
      </w:r>
    </w:p>
    <w:p>
      <w:pPr>
        <w:pStyle w:val="ListParagraph"/>
        <w:numPr>
          <w:ilvl w:val="1"/>
          <w:numId w:val="{bullets-0}"/>
        </w:numPr>
      </w:pPr>
      <w:r>
        <w:rPr>
          <w:rFonts w:ascii="Arial" w:cs="Arial" w:eastAsia="Arial" w:hAnsi="Arial"/>
          <w:sz w:val="24"/>
          <w:szCs w:val="24"/>
        </w:rPr>
        <w:t xml:space="preserve">Scoring Augmentation: Update scoring inputs from OSINT data with source reliability weighting</w:t>
      </w:r>
    </w:p>
    <w:p>
      <w:pPr>
        <w:pStyle w:val="ListParagraph"/>
        <w:numPr>
          <w:ilvl w:val="1"/>
          <w:numId w:val="{bullets-0}"/>
        </w:numPr>
      </w:pPr>
      <w:r>
        <w:rPr>
          <w:rFonts w:ascii="Arial" w:cs="Arial" w:eastAsia="Arial" w:hAnsi="Arial"/>
          <w:sz w:val="24"/>
          <w:szCs w:val="24"/>
        </w:rPr>
        <w:t xml:space="preserve">Scoring: Evaluate Layer 1 (gates) then Layer 2 (probabilistic); produce composite outcome</w:t>
      </w:r>
    </w:p>
    <w:p>
      <w:pPr>
        <w:pStyle w:val="ListParagraph"/>
        <w:numPr>
          <w:ilvl w:val="1"/>
          <w:numId w:val="{bullets-0}"/>
        </w:numPr>
      </w:pPr>
      <w:r>
        <w:rPr>
          <w:rFonts w:ascii="Arial" w:cs="Arial" w:eastAsia="Arial" w:hAnsi="Arial"/>
          <w:sz w:val="24"/>
          <w:szCs w:val="24"/>
        </w:rPr>
        <w:t xml:space="preserve">Persistence: Store case, score, enrichment report, and audit trail in SQLite</w:t>
      </w:r>
    </w:p>
    <w:p>
      <w:pPr>
        <w:spacing w:after="0" w:before="240"/>
      </w:pPr>
      <w:r>
        <w:t xml:space="preserve"/>
      </w:r>
    </w:p>
    <w:p>
      <w:pPr>
        <w:pStyle w:val="Heading2"/>
        <w:spacing w:after="120" w:before="180"/>
      </w:pPr>
      <w:r>
        <w:rPr>
          <w:rFonts w:ascii="Arial" w:cs="Arial" w:eastAsia="Arial" w:hAnsi="Arial"/>
          <w:b/>
          <w:bCs/>
          <w:color w:val="C4A052"/>
          <w:sz w:val="28"/>
          <w:szCs w:val="28"/>
        </w:rPr>
        <w:t xml:space="preserve">1.3 Infrastructure</w:t>
      </w:r>
    </w:p>
    <w:p>
      <w:pPr>
        <w:pStyle w:val="Heading3"/>
        <w:spacing w:after="8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Docker Compose Stack</w:t>
      </w:r>
    </w:p>
    <w:p>
      <w:pPr>
        <w:pStyle w:val="ListParagraph"/>
        <w:numPr>
          <w:ilvl w:val="false"/>
          <w:numId w:val="{bullets-0}"/>
        </w:numPr>
      </w:pPr>
      <w:r>
        <w:rPr>
          <w:rFonts w:ascii="Arial" w:cs="Arial" w:eastAsia="Arial" w:hAnsi="Arial"/>
          <w:sz w:val="24"/>
          <w:szCs w:val="24"/>
        </w:rPr>
        <w:t xml:space="preserve">Backend service (Python/Flask/Gunicorn)</w:t>
      </w:r>
    </w:p>
    <w:p>
      <w:pPr>
        <w:pStyle w:val="ListParagraph"/>
        <w:numPr>
          <w:ilvl w:val="false"/>
          <w:numId w:val="{bullets-0}"/>
        </w:numPr>
      </w:pPr>
      <w:r>
        <w:rPr>
          <w:rFonts w:ascii="Arial" w:cs="Arial" w:eastAsia="Arial" w:hAnsi="Arial"/>
          <w:sz w:val="24"/>
          <w:szCs w:val="24"/>
        </w:rPr>
        <w:t xml:space="preserve">Frontend service (Node/React/Vite)</w:t>
      </w:r>
    </w:p>
    <w:p>
      <w:pPr>
        <w:pStyle w:val="ListParagraph"/>
        <w:numPr>
          <w:ilvl w:val="false"/>
          <w:numId w:val="{bullets-0}"/>
        </w:numPr>
      </w:pPr>
      <w:r>
        <w:rPr>
          <w:rFonts w:ascii="Arial" w:cs="Arial" w:eastAsia="Arial" w:hAnsi="Arial"/>
          <w:sz w:val="24"/>
          <w:szCs w:val="24"/>
        </w:rPr>
        <w:t xml:space="preserve">SQLite3 volume (persistent storage)</w:t>
      </w:r>
    </w:p>
    <w:p>
      <w:pPr>
        <w:pStyle w:val="ListParagraph"/>
        <w:numPr>
          <w:ilvl w:val="false"/>
          <w:numId w:val="{bullets-0}"/>
        </w:numPr>
      </w:pPr>
      <w:r>
        <w:rPr>
          <w:rFonts w:ascii="Arial" w:cs="Arial" w:eastAsia="Arial" w:hAnsi="Arial"/>
          <w:sz w:val="24"/>
          <w:szCs w:val="24"/>
        </w:rPr>
        <w:t xml:space="preserve">Reverse proxy (Nginx or local HTTPS)</w:t>
      </w:r>
    </w:p>
    <w:p>
      <w:pPr>
        <w:spacing w:after="0" w:before="120"/>
      </w:pPr>
      <w:r>
        <w:t xml:space="preserve"/>
      </w:r>
    </w:p>
    <w:p>
      <w:pPr>
        <w:pStyle w:val="Heading3"/>
        <w:spacing w:after="8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Environment Configuration</w:t>
      </w:r>
    </w:p>
    <w:p>
      <w:pPr>
        <w:pStyle w:val="ListParagraph"/>
        <w:numPr>
          <w:ilvl w:val="false"/>
          <w:numId w:val="{bullets-0}"/>
        </w:numPr>
      </w:pPr>
      <w:r>
        <w:rPr>
          <w:rFonts w:ascii="Arial" w:cs="Arial" w:eastAsia="Arial" w:hAnsi="Arial"/>
          <w:sz w:val="24"/>
          <w:szCs w:val="24"/>
        </w:rPr>
        <w:t xml:space="preserve">SAM_GOV_API_KEY: Required for entity resolution and SAM.gov enrichment</w:t>
      </w:r>
    </w:p>
    <w:p>
      <w:pPr>
        <w:pStyle w:val="ListParagraph"/>
        <w:numPr>
          <w:ilvl w:val="false"/>
          <w:numId w:val="{bullets-0}"/>
        </w:numPr>
      </w:pPr>
      <w:r>
        <w:rPr>
          <w:rFonts w:ascii="Arial" w:cs="Arial" w:eastAsia="Arial" w:hAnsi="Arial"/>
          <w:sz w:val="24"/>
          <w:szCs w:val="24"/>
        </w:rPr>
        <w:t xml:space="preserve">JWT_SECRET: Required for token signing (auto-generated if not provided)</w:t>
      </w:r>
    </w:p>
    <w:p>
      <w:pPr>
        <w:pStyle w:val="ListParagraph"/>
        <w:numPr>
          <w:ilvl w:val="false"/>
          <w:numId w:val="{bullets-0}"/>
        </w:numPr>
      </w:pPr>
      <w:r>
        <w:rPr>
          <w:rFonts w:ascii="Arial" w:cs="Arial" w:eastAsia="Arial" w:hAnsi="Arial"/>
          <w:sz w:val="24"/>
          <w:szCs w:val="24"/>
        </w:rPr>
        <w:t xml:space="preserve">DATABASE_URL: SQLite path (default: /var/lib/xiphos/helios.db)</w:t>
      </w:r>
    </w:p>
    <w:p>
      <w:pPr>
        <w:pStyle w:val="ListParagraph"/>
        <w:numPr>
          <w:ilvl w:val="false"/>
          <w:numId w:val="{bullets-0}"/>
        </w:numPr>
      </w:pPr>
      <w:r>
        <w:rPr>
          <w:rFonts w:ascii="Arial" w:cs="Arial" w:eastAsia="Arial" w:hAnsi="Arial"/>
          <w:sz w:val="24"/>
          <w:szCs w:val="24"/>
        </w:rPr>
        <w:t xml:space="preserve">XIPHOS_CACHE_DIR: Cache directory for SEC EDGAR tickers (default: /tmp/xiphos_cache)</w:t>
      </w:r>
    </w:p>
    <w:p>
      <w:r>
        <w:br w:type="page"/>
      </w:r>
    </w:p>
    <w:p>
      <w:pPr>
        <w:pStyle w:val="Heading1"/>
        <w:spacing w:after="240" w:before="240"/>
      </w:pPr>
      <w:r>
        <w:rPr>
          <w:rFonts w:ascii="Arial" w:cs="Arial" w:eastAsia="Arial" w:hAnsi="Arial"/>
          <w:b/>
          <w:bCs/>
          <w:color w:val="C4A052"/>
          <w:sz w:val="32"/>
          <w:szCs w:val="32"/>
        </w:rPr>
        <w:t xml:space="preserve">2. Scoring Engine (FGAMLogit v5.0)</w:t>
      </w:r>
    </w:p>
    <w:p>
      <w:pPr>
        <w:spacing w:line="36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The FGAMLogit (Factored Generalized Additive Logistic) model is a sensitivity-aware probabilistic scoring engine that produces risk assessments calibrated to DoD program contexts.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180"/>
      </w:pPr>
      <w:r>
        <w:rPr>
          <w:rFonts w:ascii="Arial" w:cs="Arial" w:eastAsia="Arial" w:hAnsi="Arial"/>
          <w:b/>
          <w:bCs/>
          <w:color w:val="C4A052"/>
          <w:sz w:val="28"/>
          <w:szCs w:val="28"/>
        </w:rPr>
        <w:t xml:space="preserve">2.1 Mathematical Model</w:t>
      </w:r>
    </w:p>
    <w:p>
      <w:pPr>
        <w:spacing w:line="36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The core model combines baseline bias, linear factors, and two-way interaction terms:</w:t>
      </w:r>
    </w:p>
    <w:p>
      <w:pPr>
        <w:spacing w:after="0" w:before="8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η = β₀ + Σ(wⱼ × xⱼ) + Σ(γₖₗ × xₖ × xₗ)</w:t>
      </w:r>
    </w:p>
    <w:p>
      <w:pPr>
        <w:spacing w:line="36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where:</w:t>
      </w:r>
    </w:p>
    <w:p>
      <w:pPr>
        <w:pStyle w:val="ListParagraph"/>
        <w:numPr>
          <w:ilvl w:val="false"/>
          <w:numId w:val="{bullets-0}"/>
        </w:numPr>
      </w:pPr>
      <w:r>
        <w:rPr>
          <w:rFonts w:ascii="Arial" w:cs="Arial" w:eastAsia="Arial" w:hAnsi="Arial"/>
          <w:sz w:val="24"/>
          <w:szCs w:val="24"/>
        </w:rPr>
        <w:t xml:space="preserve">η (eta): Linear predictor (unbounded)</w:t>
      </w:r>
    </w:p>
    <w:p>
      <w:pPr>
        <w:pStyle w:val="ListParagraph"/>
        <w:numPr>
          <w:ilvl w:val="false"/>
          <w:numId w:val="{bullets-0}"/>
        </w:numPr>
      </w:pPr>
      <w:r>
        <w:rPr>
          <w:rFonts w:ascii="Arial" w:cs="Arial" w:eastAsia="Arial" w:hAnsi="Arial"/>
          <w:sz w:val="24"/>
          <w:szCs w:val="24"/>
        </w:rPr>
        <w:t xml:space="preserve">β₀: Baseline bias (sensitivity-dependent)</w:t>
      </w:r>
    </w:p>
    <w:p>
      <w:pPr>
        <w:pStyle w:val="ListParagraph"/>
        <w:numPr>
          <w:ilvl w:val="false"/>
          <w:numId w:val="{bullets-0}"/>
        </w:numPr>
      </w:pPr>
      <w:r>
        <w:rPr>
          <w:rFonts w:ascii="Arial" w:cs="Arial" w:eastAsia="Arial" w:hAnsi="Arial"/>
          <w:sz w:val="24"/>
          <w:szCs w:val="24"/>
        </w:rPr>
        <w:t xml:space="preserve">wⱼ: Factor weight for input xⱼ</w:t>
      </w:r>
    </w:p>
    <w:p>
      <w:pPr>
        <w:pStyle w:val="ListParagraph"/>
        <w:numPr>
          <w:ilvl w:val="false"/>
          <w:numId w:val="{bullets-0}"/>
        </w:numPr>
      </w:pPr>
      <w:r>
        <w:rPr>
          <w:rFonts w:ascii="Arial" w:cs="Arial" w:eastAsia="Arial" w:hAnsi="Arial"/>
          <w:sz w:val="24"/>
          <w:szCs w:val="24"/>
        </w:rPr>
        <w:t xml:space="preserve">xⱼ: Input factor (0–1 normalized)</w:t>
      </w:r>
    </w:p>
    <w:p>
      <w:pPr>
        <w:pStyle w:val="ListParagraph"/>
        <w:numPr>
          <w:ilvl w:val="false"/>
          <w:numId w:val="{bullets-0}"/>
        </w:numPr>
      </w:pPr>
      <w:r>
        <w:rPr>
          <w:rFonts w:ascii="Arial" w:cs="Arial" w:eastAsia="Arial" w:hAnsi="Arial"/>
          <w:sz w:val="24"/>
          <w:szCs w:val="24"/>
        </w:rPr>
        <w:t xml:space="preserve">γₖₗ: Two-way interaction coefficient</w:t>
      </w:r>
    </w:p>
    <w:p>
      <w:pPr>
        <w:spacing w:after="0" w:before="120"/>
      </w:pPr>
      <w:r>
        <w:t xml:space="preserve"/>
      </w:r>
    </w:p>
    <w:p>
      <w:pPr>
        <w:spacing w:line="36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Risk probability: P(risk) = logistic(η × T) where T is the sensitivity tier multiplier (0.70x–1.60x).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180"/>
      </w:pPr>
      <w:r>
        <w:rPr>
          <w:rFonts w:ascii="Arial" w:cs="Arial" w:eastAsia="Arial" w:hAnsi="Arial"/>
          <w:b/>
          <w:bCs/>
          <w:color w:val="C4A052"/>
          <w:sz w:val="28"/>
          <w:szCs w:val="28"/>
        </w:rPr>
        <w:t xml:space="preserve">2.2 The 14 Risk Factors</w:t>
      </w:r>
    </w:p>
    <w:p>
      <w:pPr>
        <w:spacing w:line="36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Factors are grouped by domain (5 commercial + 9 DoD-specific):</w:t>
      </w:r>
    </w:p>
    <w:p>
      <w:pPr>
        <w:spacing w:after="0" w:before="80"/>
      </w:pPr>
      <w:r>
        <w:t xml:space="preserve"/>
      </w:r>
    </w:p>
    <w:p>
      <w:pPr>
        <w:pStyle w:val="Heading3"/>
        <w:spacing w:after="8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Commercial Factors (5)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00"/>
        <w:gridCol w:w="3560"/>
      </w:tblGrid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C4A052" w:sz="2"/>
              <w:right w:val="single" w:color="E5E7EB" w:sz="1"/>
            </w:tcBorders>
            <w:shd w:fill="C4A05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a0e17"/>
                <w:sz w:val="24"/>
                <w:szCs w:val="24"/>
              </w:rPr>
              <w:t xml:space="preserve">Factor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C4A052" w:sz="2"/>
              <w:right w:val="single" w:color="E5E7EB" w:sz="1"/>
            </w:tcBorders>
            <w:shd w:fill="C4A05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a0e17"/>
                <w:sz w:val="24"/>
                <w:szCs w:val="24"/>
              </w:rPr>
              <w:t xml:space="preserve">Range</w:t>
            </w:r>
          </w:p>
        </w:tc>
        <w:tc>
          <w:tcPr>
            <w:tcW w:type="dxa" w:w="3560"/>
            <w:tcBorders>
              <w:top w:val="single" w:color="E5E7EB" w:sz="1"/>
              <w:left w:val="single" w:color="E5E7EB" w:sz="1"/>
              <w:bottom w:val="single" w:color="C4A052" w:sz="2"/>
              <w:right w:val="single" w:color="E5E7EB" w:sz="1"/>
            </w:tcBorders>
            <w:shd w:fill="C4A05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a0e17"/>
                <w:sz w:val="24"/>
                <w:szCs w:val="24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Ownership Opacity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0–1</w:t>
            </w:r>
          </w:p>
        </w:tc>
        <w:tc>
          <w:tcPr>
            <w:tcW w:type="dxa" w:w="3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Beneficial owner unknown, shell layers, beneficial owner residence outside US/allied nations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Sanctions/Exclusions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0–1</w:t>
            </w:r>
          </w:p>
        </w:tc>
        <w:tc>
          <w:tcPr>
            <w:tcW w:type="dxa" w:w="3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Match on CSL, OFAC, UN sanctions, federal exclusions, debarments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Executive Risk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0–1</w:t>
            </w:r>
          </w:p>
        </w:tc>
        <w:tc>
          <w:tcPr>
            <w:tcW w:type="dxa" w:w="3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PEP connections, adverse media, litigation history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Data Quality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0–1</w:t>
            </w:r>
          </w:p>
        </w:tc>
        <w:tc>
          <w:tcPr>
            <w:tcW w:type="dxa" w:w="3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Missing identifiers (LEI, CAGE, DUNS), audited financials, years in business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State Ownership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0–1</w:t>
            </w:r>
          </w:p>
        </w:tc>
        <w:tc>
          <w:tcPr>
            <w:tcW w:type="dxa" w:w="3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Government/SOE ownership, foreign ownership concentration</w:t>
            </w:r>
          </w:p>
        </w:tc>
      </w:tr>
    </w:tbl>
    <w:p>
      <w:pPr>
        <w:spacing w:after="0" w:before="240"/>
      </w:pPr>
      <w:r>
        <w:t xml:space="preserve"/>
      </w:r>
    </w:p>
    <w:p>
      <w:pPr>
        <w:pStyle w:val="Heading3"/>
        <w:spacing w:after="8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DoD-Specific Factors (9)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3960"/>
      </w:tblGrid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C4A052" w:sz="2"/>
              <w:right w:val="single" w:color="E5E7EB" w:sz="1"/>
            </w:tcBorders>
            <w:shd w:fill="C4A05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a0e17"/>
                <w:sz w:val="24"/>
                <w:szCs w:val="24"/>
              </w:rPr>
              <w:t xml:space="preserve">Factor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C4A052" w:sz="2"/>
              <w:right w:val="single" w:color="E5E7EB" w:sz="1"/>
            </w:tcBorders>
            <w:shd w:fill="C4A05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a0e17"/>
                <w:sz w:val="24"/>
                <w:szCs w:val="24"/>
              </w:rPr>
              <w:t xml:space="preserve">Range</w:t>
            </w:r>
          </w:p>
        </w:tc>
        <w:tc>
          <w:tcPr>
            <w:tcW w:type="dxa" w:w="3960"/>
            <w:tcBorders>
              <w:top w:val="single" w:color="E5E7EB" w:sz="1"/>
              <w:left w:val="single" w:color="E5E7EB" w:sz="1"/>
              <w:bottom w:val="single" w:color="C4A052" w:sz="2"/>
              <w:right w:val="single" w:color="E5E7EB" w:sz="1"/>
            </w:tcBorders>
            <w:shd w:fill="C4A05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a0e17"/>
                <w:sz w:val="24"/>
                <w:szCs w:val="24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Contract Vehicle Tier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0–1</w:t>
            </w:r>
          </w:p>
        </w:tc>
        <w:tc>
          <w:tcPr>
            <w:tcW w:type="dxa" w:w="3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Unfamiliar vehicle, emerging contractor, vs. recurring prime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Supply Chain Geographic Risk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0–1</w:t>
            </w:r>
          </w:p>
        </w:tc>
        <w:tc>
          <w:tcPr>
            <w:tcW w:type="dxa" w:w="3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Manufacturing in sanctioned jurisdictions, ITAR-controlled geographies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CMMC Maturity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0–1</w:t>
            </w:r>
          </w:p>
        </w:tc>
        <w:tc>
          <w:tcPr>
            <w:tcW w:type="dxa" w:w="3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Cybersecurity Maturity Model Certification level or absence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DFARS Specialty Metals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0–1</w:t>
            </w:r>
          </w:p>
        </w:tc>
        <w:tc>
          <w:tcPr>
            <w:tcW w:type="dxa" w:w="3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Melting/refining origin compliance uncertainty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ITAR Sensitivity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0–1</w:t>
            </w:r>
          </w:p>
        </w:tc>
        <w:tc>
          <w:tcPr>
            <w:tcW w:type="dxa" w:w="3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Presence of USML items or technical data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Export Control Risk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0–1</w:t>
            </w:r>
          </w:p>
        </w:tc>
        <w:tc>
          <w:tcPr>
            <w:tcW w:type="dxa" w:w="3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EAR dual-use item involvement, end-use risk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Subcontractor Depth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0–1</w:t>
            </w:r>
          </w:p>
        </w:tc>
        <w:tc>
          <w:tcPr>
            <w:tcW w:type="dxa" w:w="3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Multi-tier supply chains with visibility gaps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FOCI Indicators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0–1</w:t>
            </w:r>
          </w:p>
        </w:tc>
        <w:tc>
          <w:tcPr>
            <w:tcW w:type="dxa" w:w="3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Foreign ownership, board representation, access to classified data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Emerging Tech Exposure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0–1</w:t>
            </w:r>
          </w:p>
        </w:tc>
        <w:tc>
          <w:tcPr>
            <w:tcW w:type="dxa" w:w="3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AI, quantum, semiconductors, biotechnology involvement</w:t>
            </w:r>
          </w:p>
        </w:tc>
      </w:tr>
    </w:tbl>
    <w:p>
      <w:pPr>
        <w:spacing w:after="0" w:before="240"/>
      </w:pPr>
      <w:r>
        <w:t xml:space="preserve"/>
      </w:r>
    </w:p>
    <w:p>
      <w:pPr>
        <w:pStyle w:val="Heading2"/>
        <w:spacing w:after="120" w:before="180"/>
      </w:pPr>
      <w:r>
        <w:rPr>
          <w:rFonts w:ascii="Arial" w:cs="Arial" w:eastAsia="Arial" w:hAnsi="Arial"/>
          <w:b/>
          <w:bCs/>
          <w:color w:val="C4A052"/>
          <w:sz w:val="28"/>
          <w:szCs w:val="28"/>
        </w:rPr>
        <w:t xml:space="preserve">2.3 Sensitivity Tiers</w:t>
      </w:r>
    </w:p>
    <w:p>
      <w:pPr>
        <w:spacing w:line="36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Factor weights and baseline vary by DoD program context. Seven tiers span from SAP (most restricted) to commercial (least restricted):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200"/>
        <w:gridCol w:w="1400"/>
        <w:gridCol w:w="4360"/>
      </w:tblGrid>
      <w:tr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C4A052" w:sz="2"/>
              <w:right w:val="single" w:color="E5E7EB" w:sz="1"/>
            </w:tcBorders>
            <w:shd w:fill="C4A05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a0e17"/>
                <w:sz w:val="24"/>
                <w:szCs w:val="24"/>
              </w:rPr>
              <w:t xml:space="preserve">Tier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C4A052" w:sz="2"/>
              <w:right w:val="single" w:color="E5E7EB" w:sz="1"/>
            </w:tcBorders>
            <w:shd w:fill="C4A05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a0e17"/>
                <w:sz w:val="24"/>
                <w:szCs w:val="24"/>
              </w:rPr>
              <w:t xml:space="preserve">Multiplier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C4A052" w:sz="2"/>
              <w:right w:val="single" w:color="E5E7EB" w:sz="1"/>
            </w:tcBorders>
            <w:shd w:fill="C4A05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a0e17"/>
                <w:sz w:val="24"/>
                <w:szCs w:val="24"/>
              </w:rPr>
              <w:t xml:space="preserve">Baseline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C4A052" w:sz="2"/>
              <w:right w:val="single" w:color="E5E7EB" w:sz="1"/>
            </w:tcBorders>
            <w:shd w:fill="C4A05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a0e17"/>
                <w:sz w:val="24"/>
                <w:szCs w:val="24"/>
              </w:rPr>
              <w:t xml:space="preserve">Context</w:t>
            </w:r>
          </w:p>
        </w:tc>
      </w:tr>
      <w:tr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T0: CRITICAL_SAP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0.70x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-2.5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Sensitive Compartmented Information Facilities (SCIF), Special Access Programs</w:t>
            </w:r>
          </w:p>
        </w:tc>
      </w:tr>
      <w:tr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T1: SECRET_PROGRAM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0.90x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-1.8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Secret-level defense contracts</w:t>
            </w:r>
          </w:p>
        </w:tc>
      </w:tr>
      <w:tr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T2: CONTROLLED_UNCLASSIFIED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1.10x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-1.2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Controlled Unclassified Information (CUI) handling</w:t>
            </w:r>
          </w:p>
        </w:tc>
      </w:tr>
      <w:tr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T3: RESTRICTED_CUI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1.30x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-0.8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Restricted CUI (technical data, intellectual property)</w:t>
            </w:r>
          </w:p>
        </w:tc>
      </w:tr>
      <w:tr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T4: UNRESTRICTED_FEDERAL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1.45x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-0.3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Unclassified federal contracts (no CUI)</w:t>
            </w:r>
          </w:p>
        </w:tc>
      </w:tr>
      <w:tr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T5: COMMERCIAL_FEDERAL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1.55x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0.1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Commercial items for federal use</w:t>
            </w:r>
          </w:p>
        </w:tc>
      </w:tr>
      <w:tr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T6: COMMERCIAL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1.60x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0.4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Commercial market (non-DoD), public sector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line="36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Higher multipliers (T5-T6) reduce sensitivity, lower multipliers (T0-T1) increase scrutiny. Baselines reflect program inherent risk.</w:t>
      </w:r>
    </w:p>
    <w:p>
      <w:pPr>
        <w:spacing w:after="0" w:before="240"/>
      </w:pPr>
      <w:r>
        <w:t xml:space="preserve"/>
      </w:r>
    </w:p>
    <w:p>
      <w:pPr>
        <w:pStyle w:val="Heading2"/>
        <w:spacing w:after="120" w:before="180"/>
      </w:pPr>
      <w:r>
        <w:rPr>
          <w:rFonts w:ascii="Arial" w:cs="Arial" w:eastAsia="Arial" w:hAnsi="Arial"/>
          <w:b/>
          <w:bCs/>
          <w:color w:val="C4A052"/>
          <w:sz w:val="28"/>
          <w:szCs w:val="28"/>
        </w:rPr>
        <w:t xml:space="preserve">2.4 Hard Stop Rules</w:t>
      </w:r>
    </w:p>
    <w:p>
      <w:pPr>
        <w:spacing w:line="36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Five categorical rules automatically block approval regardless of probabilistic score:</w:t>
      </w:r>
    </w:p>
    <w:p>
      <w:pPr>
        <w:spacing w:after="0" w:before="80"/>
      </w:pPr>
      <w:r>
        <w:t xml:space="preserve"/>
      </w:r>
    </w:p>
    <w:p>
      <w:pPr>
        <w:pStyle w:val="ListParagraph"/>
        <w:numPr>
          <w:ilvl w:val="false"/>
          <w:numId w:val="{numbers-0}"/>
        </w:numPr>
      </w:pPr>
      <w:r>
        <w:rPr>
          <w:rFonts w:ascii="Arial" w:cs="Arial" w:eastAsia="Arial" w:hAnsi="Arial"/>
          <w:sz w:val="24"/>
          <w:szCs w:val="24"/>
        </w:rPr>
        <w:t xml:space="preserve">Sanctions Override: Direct match on OFAC SDN, UN Security Council, or EU/UK sanctions (≥0.80 source reliability)</w:t>
      </w:r>
    </w:p>
    <w:p>
      <w:pPr>
        <w:pStyle w:val="ListParagraph"/>
        <w:numPr>
          <w:ilvl w:val="false"/>
          <w:numId w:val="{numbers-0}"/>
        </w:numPr>
      </w:pPr>
      <w:r>
        <w:rPr>
          <w:rFonts w:ascii="Arial" w:cs="Arial" w:eastAsia="Arial" w:hAnsi="Arial"/>
          <w:sz w:val="24"/>
          <w:szCs w:val="24"/>
        </w:rPr>
        <w:t xml:space="preserve">Federal Exclusion: Entity on SAM.gov exclusions or World Bank debarment list</w:t>
      </w:r>
    </w:p>
    <w:p>
      <w:pPr>
        <w:pStyle w:val="ListParagraph"/>
        <w:numPr>
          <w:ilvl w:val="false"/>
          <w:numId w:val="{numbers-0}"/>
        </w:numPr>
      </w:pPr>
      <w:r>
        <w:rPr>
          <w:rFonts w:ascii="Arial" w:cs="Arial" w:eastAsia="Arial" w:hAnsi="Arial"/>
          <w:sz w:val="24"/>
          <w:szCs w:val="24"/>
        </w:rPr>
        <w:t xml:space="preserve">Dissolved Entity: OpenCorporates or UK Companies House shows dissolved/struck-off status</w:t>
      </w:r>
    </w:p>
    <w:p>
      <w:pPr>
        <w:pStyle w:val="ListParagraph"/>
        <w:numPr>
          <w:ilvl w:val="false"/>
          <w:numId w:val="{numbers-0}"/>
        </w:numPr>
      </w:pPr>
      <w:r>
        <w:rPr>
          <w:rFonts w:ascii="Arial" w:cs="Arial" w:eastAsia="Arial" w:hAnsi="Arial"/>
          <w:sz w:val="24"/>
          <w:szCs w:val="24"/>
        </w:rPr>
        <w:t xml:space="preserve">FARA Foreign Agent: Active registration as foreign agent (DOJ FARA registry) with ≥0.80 source reliability</w:t>
      </w:r>
    </w:p>
    <w:p>
      <w:pPr>
        <w:pStyle w:val="ListParagraph"/>
        <w:numPr>
          <w:ilvl w:val="false"/>
          <w:numId w:val="{numbers-0}"/>
        </w:numPr>
      </w:pPr>
      <w:r>
        <w:rPr>
          <w:rFonts w:ascii="Arial" w:cs="Arial" w:eastAsia="Arial" w:hAnsi="Arial"/>
          <w:sz w:val="24"/>
          <w:szCs w:val="24"/>
        </w:rPr>
        <w:t xml:space="preserve">CFIUS-Sensitive Foreign Ownership: Majority foreign ownership in CFIUS-listed sector + foreign principal control</w:t>
      </w:r>
    </w:p>
    <w:p>
      <w:pPr>
        <w:spacing w:after="0" w:before="240"/>
      </w:pPr>
      <w:r>
        <w:t xml:space="preserve"/>
      </w:r>
    </w:p>
    <w:p>
      <w:pPr>
        <w:pStyle w:val="Heading2"/>
        <w:spacing w:after="120" w:before="180"/>
      </w:pPr>
      <w:r>
        <w:rPr>
          <w:rFonts w:ascii="Arial" w:cs="Arial" w:eastAsia="Arial" w:hAnsi="Arial"/>
          <w:b/>
          <w:bCs/>
          <w:color w:val="C4A052"/>
          <w:sz w:val="28"/>
          <w:szCs w:val="28"/>
        </w:rPr>
        <w:t xml:space="preserve">2.5 Wilson Confidence Intervals</w:t>
      </w:r>
    </w:p>
    <w:p>
      <w:pPr>
        <w:spacing w:line="36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All scores include Wilson score confidence intervals (90% CI), adjusted by source reliability and sensitivity tier:</w:t>
      </w:r>
    </w:p>
    <w:p>
      <w:pPr>
        <w:spacing w:after="0" w:before="80"/>
      </w:pPr>
      <w:r>
        <w:t xml:space="preserve"/>
      </w:r>
    </w:p>
    <w:p>
      <w:pPr>
        <w:pStyle w:val="ListParagraph"/>
        <w:numPr>
          <w:ilvl w:val="false"/>
          <w:numId w:val="{bullets-0}"/>
        </w:numPr>
      </w:pPr>
      <w:r>
        <w:rPr>
          <w:rFonts w:ascii="Arial" w:cs="Arial" w:eastAsia="Arial" w:hAnsi="Arial"/>
          <w:sz w:val="24"/>
          <w:szCs w:val="24"/>
        </w:rPr>
        <w:t xml:space="preserve">Base CI width: 8 percentage points (score ± 4%)</w:t>
      </w:r>
    </w:p>
    <w:p>
      <w:pPr>
        <w:pStyle w:val="ListParagraph"/>
        <w:numPr>
          <w:ilvl w:val="false"/>
          <w:numId w:val="{bullets-0}"/>
        </w:numPr>
      </w:pPr>
      <w:r>
        <w:rPr>
          <w:rFonts w:ascii="Arial" w:cs="Arial" w:eastAsia="Arial" w:hAnsi="Arial"/>
          <w:sz w:val="24"/>
          <w:szCs w:val="24"/>
        </w:rPr>
        <w:t xml:space="preserve">Reliability adjustment: CI narrows for high-reliability sources (&gt;0.80)</w:t>
      </w:r>
    </w:p>
    <w:p>
      <w:pPr>
        <w:pStyle w:val="ListParagraph"/>
        <w:numPr>
          <w:ilvl w:val="false"/>
          <w:numId w:val="{bullets-0}"/>
        </w:numPr>
      </w:pPr>
      <w:r>
        <w:rPr>
          <w:rFonts w:ascii="Arial" w:cs="Arial" w:eastAsia="Arial" w:hAnsi="Arial"/>
          <w:sz w:val="24"/>
          <w:szCs w:val="24"/>
        </w:rPr>
        <w:t xml:space="preserve">Sensitivity adjustment: CI widens for SAP tiers (T0–T1), narrows for commercial (T5–T6)</w:t>
      </w:r>
    </w:p>
    <w:p>
      <w:pPr>
        <w:pStyle w:val="ListParagraph"/>
        <w:numPr>
          <w:ilvl w:val="false"/>
          <w:numId w:val="{bullets-0}"/>
        </w:numPr>
      </w:pPr>
      <w:r>
        <w:rPr>
          <w:rFonts w:ascii="Arial" w:cs="Arial" w:eastAsia="Arial" w:hAnsi="Arial"/>
          <w:sz w:val="24"/>
          <w:szCs w:val="24"/>
        </w:rPr>
        <w:t xml:space="preserve">Interpretation: 90% confidence that true risk lies within [lower_CI, upper_CI]</w:t>
      </w:r>
    </w:p>
    <w:p>
      <w:r>
        <w:br w:type="page"/>
      </w:r>
    </w:p>
    <w:p>
      <w:pPr>
        <w:pStyle w:val="Heading1"/>
        <w:spacing w:after="240" w:before="240"/>
      </w:pPr>
      <w:r>
        <w:rPr>
          <w:rFonts w:ascii="Arial" w:cs="Arial" w:eastAsia="Arial" w:hAnsi="Arial"/>
          <w:b/>
          <w:bCs/>
          <w:color w:val="C4A052"/>
          <w:sz w:val="32"/>
          <w:szCs w:val="32"/>
        </w:rPr>
        <w:t xml:space="preserve">3. Regulatory Gate Engine (Layer 1)</w:t>
      </w:r>
    </w:p>
    <w:p>
      <w:pPr>
        <w:spacing w:line="36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The Gate Engine evaluates 10 categorical compliance rules before probabilistic scoring. Each gate returns PASS, FAIL, PENDING, or SKIP.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180"/>
      </w:pPr>
      <w:r>
        <w:rPr>
          <w:rFonts w:ascii="Arial" w:cs="Arial" w:eastAsia="Arial" w:hAnsi="Arial"/>
          <w:b/>
          <w:bCs/>
          <w:color w:val="C4A052"/>
          <w:sz w:val="28"/>
          <w:szCs w:val="28"/>
        </w:rPr>
        <w:t xml:space="preserve">3.1 Gate Evaluation Logic</w:t>
      </w:r>
    </w:p>
    <w:p>
      <w:pPr>
        <w:pStyle w:val="ListParagraph"/>
        <w:numPr>
          <w:ilvl w:val="false"/>
          <w:numId w:val="{bullets-0}"/>
        </w:numPr>
      </w:pPr>
      <w:r>
        <w:rPr>
          <w:rFonts w:ascii="Arial" w:cs="Arial" w:eastAsia="Arial" w:hAnsi="Arial"/>
          <w:sz w:val="24"/>
          <w:szCs w:val="24"/>
        </w:rPr>
        <w:t xml:space="preserve">All gates evaluated in parallel from enrichment data</w:t>
      </w:r>
    </w:p>
    <w:p>
      <w:pPr>
        <w:pStyle w:val="ListParagraph"/>
        <w:numPr>
          <w:ilvl w:val="false"/>
          <w:numId w:val="{bullets-0}"/>
        </w:numPr>
      </w:pPr>
      <w:r>
        <w:rPr>
          <w:rFonts w:ascii="Arial" w:cs="Arial" w:eastAsia="Arial" w:hAnsi="Arial"/>
          <w:sz w:val="24"/>
          <w:szCs w:val="24"/>
        </w:rPr>
        <w:t xml:space="preserve">FAIL on any hard-stop gate → case automatically BLOCKED</w:t>
      </w:r>
    </w:p>
    <w:p>
      <w:pPr>
        <w:pStyle w:val="ListParagraph"/>
        <w:numPr>
          <w:ilvl w:val="false"/>
          <w:numId w:val="{bullets-0}"/>
        </w:numPr>
      </w:pPr>
      <w:r>
        <w:rPr>
          <w:rFonts w:ascii="Arial" w:cs="Arial" w:eastAsia="Arial" w:hAnsi="Arial"/>
          <w:sz w:val="24"/>
          <w:szCs w:val="24"/>
        </w:rPr>
        <w:t xml:space="preserve">PENDING if insufficient data → case REQUIRES_REVIEW</w:t>
      </w:r>
    </w:p>
    <w:p>
      <w:pPr>
        <w:pStyle w:val="ListParagraph"/>
        <w:numPr>
          <w:ilvl w:val="false"/>
          <w:numId w:val="{bullets-0}"/>
        </w:numPr>
      </w:pPr>
      <w:r>
        <w:rPr>
          <w:rFonts w:ascii="Arial" w:cs="Arial" w:eastAsia="Arial" w:hAnsi="Arial"/>
          <w:sz w:val="24"/>
          <w:szCs w:val="24"/>
        </w:rPr>
        <w:t xml:space="preserve">All PASS → case COMPLIANT (proceeds to Layer 2 scoring)</w:t>
      </w:r>
    </w:p>
    <w:p>
      <w:pPr>
        <w:spacing w:after="0" w:before="240"/>
      </w:pPr>
      <w:r>
        <w:t xml:space="preserve"/>
      </w:r>
    </w:p>
    <w:p>
      <w:pPr>
        <w:pStyle w:val="Heading2"/>
        <w:spacing w:after="120" w:before="180"/>
      </w:pPr>
      <w:r>
        <w:rPr>
          <w:rFonts w:ascii="Arial" w:cs="Arial" w:eastAsia="Arial" w:hAnsi="Arial"/>
          <w:b/>
          <w:bCs/>
          <w:color w:val="C4A052"/>
          <w:sz w:val="28"/>
          <w:szCs w:val="28"/>
        </w:rPr>
        <w:t xml:space="preserve">3.2 The 10 Regulatory Gates</w:t>
      </w:r>
    </w:p>
    <w:p>
      <w:pPr>
        <w:spacing w:after="0" w:before="80"/>
      </w:pPr>
      <w:r>
        <w:t xml:space="preserve"/>
      </w:r>
    </w:p>
    <w:p>
      <w:pPr>
        <w:pStyle w:val="Heading3"/>
        <w:spacing w:after="8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Gate 1: Section 889 (FY2019 NDAA)</w:t>
      </w:r>
    </w:p>
    <w:p>
      <w:pPr>
        <w:pStyle w:val="ListParagraph"/>
        <w:numPr>
          <w:ilvl w:val="false"/>
          <w:numId w:val="{bullets-0}"/>
        </w:numPr>
      </w:pPr>
      <w:r>
        <w:rPr>
          <w:rFonts w:ascii="Arial" w:cs="Arial" w:eastAsia="Arial" w:hAnsi="Arial"/>
          <w:sz w:val="24"/>
          <w:szCs w:val="24"/>
        </w:rPr>
        <w:t xml:space="preserve">Detects: Huawei, ZTE, Dahua, Hikvision, Hytera, and affiliates in supply chain</w:t>
      </w:r>
    </w:p>
    <w:p>
      <w:pPr>
        <w:pStyle w:val="ListParagraph"/>
        <w:numPr>
          <w:ilvl w:val="false"/>
          <w:numId w:val="{bullets-0}"/>
        </w:numPr>
      </w:pPr>
      <w:r>
        <w:rPr>
          <w:rFonts w:ascii="Arial" w:cs="Arial" w:eastAsia="Arial" w:hAnsi="Arial"/>
          <w:sz w:val="24"/>
          <w:szCs w:val="24"/>
        </w:rPr>
        <w:t xml:space="preserve">Enforcement: Hard stop if entity appears in procurement ban list</w:t>
      </w:r>
    </w:p>
    <w:p>
      <w:pPr>
        <w:pStyle w:val="ListParagraph"/>
        <w:numPr>
          <w:ilvl w:val="false"/>
          <w:numId w:val="{bullets-0}"/>
        </w:numPr>
      </w:pPr>
      <w:r>
        <w:rPr>
          <w:rFonts w:ascii="Arial" w:cs="Arial" w:eastAsia="Arial" w:hAnsi="Arial"/>
          <w:sz w:val="24"/>
          <w:szCs w:val="24"/>
        </w:rPr>
        <w:t xml:space="preserve">Data source: CISA Known Exploited Vulnerabilities, OpenSanctions, media alerts</w:t>
      </w:r>
    </w:p>
    <w:p>
      <w:pPr>
        <w:spacing w:after="0" w:before="120"/>
      </w:pPr>
      <w:r>
        <w:t xml:space="preserve"/>
      </w:r>
    </w:p>
    <w:p>
      <w:pPr>
        <w:pStyle w:val="Heading3"/>
        <w:spacing w:after="8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Gate 2: ITAR Compliance</w:t>
      </w:r>
    </w:p>
    <w:p>
      <w:pPr>
        <w:pStyle w:val="ListParagraph"/>
        <w:numPr>
          <w:ilvl w:val="false"/>
          <w:numId w:val="{bullets-0}"/>
        </w:numPr>
      </w:pPr>
      <w:r>
        <w:rPr>
          <w:rFonts w:ascii="Arial" w:cs="Arial" w:eastAsia="Arial" w:hAnsi="Arial"/>
          <w:sz w:val="24"/>
          <w:szCs w:val="24"/>
        </w:rPr>
        <w:t xml:space="preserve">Detects: USML (United States Munitions List) item manufacturing or export</w:t>
      </w:r>
    </w:p>
    <w:p>
      <w:pPr>
        <w:pStyle w:val="ListParagraph"/>
        <w:numPr>
          <w:ilvl w:val="false"/>
          <w:numId w:val="{bullets-0}"/>
        </w:numPr>
      </w:pPr>
      <w:r>
        <w:rPr>
          <w:rFonts w:ascii="Arial" w:cs="Arial" w:eastAsia="Arial" w:hAnsi="Arial"/>
          <w:sz w:val="24"/>
          <w:szCs w:val="24"/>
        </w:rPr>
        <w:t xml:space="preserve">Rule: Requires ITAR license OR exemption if handling technical data</w:t>
      </w:r>
    </w:p>
    <w:p>
      <w:pPr>
        <w:pStyle w:val="ListParagraph"/>
        <w:numPr>
          <w:ilvl w:val="false"/>
          <w:numId w:val="{bullets-0}"/>
        </w:numPr>
      </w:pPr>
      <w:r>
        <w:rPr>
          <w:rFonts w:ascii="Arial" w:cs="Arial" w:eastAsia="Arial" w:hAnsi="Arial"/>
          <w:sz w:val="24"/>
          <w:szCs w:val="24"/>
        </w:rPr>
        <w:t xml:space="preserve">Data source: SAM.gov PSC codes, SEC filings, adverse media</w:t>
      </w:r>
    </w:p>
    <w:p>
      <w:pPr>
        <w:spacing w:after="0" w:before="120"/>
      </w:pPr>
      <w:r>
        <w:t xml:space="preserve"/>
      </w:r>
    </w:p>
    <w:p>
      <w:pPr>
        <w:pStyle w:val="Heading3"/>
        <w:spacing w:after="8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Gate 3: EAR (Export Administration Regulations)</w:t>
      </w:r>
    </w:p>
    <w:p>
      <w:pPr>
        <w:pStyle w:val="ListParagraph"/>
        <w:numPr>
          <w:ilvl w:val="false"/>
          <w:numId w:val="{bullets-0}"/>
        </w:numPr>
      </w:pPr>
      <w:r>
        <w:rPr>
          <w:rFonts w:ascii="Arial" w:cs="Arial" w:eastAsia="Arial" w:hAnsi="Arial"/>
          <w:sz w:val="24"/>
          <w:szCs w:val="24"/>
        </w:rPr>
        <w:t xml:space="preserve">Detects: Dual-use items (encryption, semiconductors, biotech) subject to Commerce Dept. controls</w:t>
      </w:r>
    </w:p>
    <w:p>
      <w:pPr>
        <w:pStyle w:val="ListParagraph"/>
        <w:numPr>
          <w:ilvl w:val="false"/>
          <w:numId w:val="{bullets-0}"/>
        </w:numPr>
      </w:pPr>
      <w:r>
        <w:rPr>
          <w:rFonts w:ascii="Arial" w:cs="Arial" w:eastAsia="Arial" w:hAnsi="Arial"/>
          <w:sz w:val="24"/>
          <w:szCs w:val="24"/>
        </w:rPr>
        <w:t xml:space="preserve">Rule: Requires license if end-use in sanctioned country OR end-user is military/research</w:t>
      </w:r>
    </w:p>
    <w:p>
      <w:pPr>
        <w:pStyle w:val="ListParagraph"/>
        <w:numPr>
          <w:ilvl w:val="false"/>
          <w:numId w:val="{bullets-0}"/>
        </w:numPr>
      </w:pPr>
      <w:r>
        <w:rPr>
          <w:rFonts w:ascii="Arial" w:cs="Arial" w:eastAsia="Arial" w:hAnsi="Arial"/>
          <w:sz w:val="24"/>
          <w:szCs w:val="24"/>
        </w:rPr>
        <w:t xml:space="preserve">Data source: SAM.gov entity profile, export control keywords, supply chain analysis</w:t>
      </w:r>
    </w:p>
    <w:p>
      <w:pPr>
        <w:spacing w:after="0" w:before="120"/>
      </w:pPr>
      <w:r>
        <w:t xml:space="preserve"/>
      </w:r>
    </w:p>
    <w:p>
      <w:pPr>
        <w:pStyle w:val="Heading3"/>
        <w:spacing w:after="8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Gate 4: DFARS 252.225-7009 (Specialty Metals)</w:t>
      </w:r>
    </w:p>
    <w:p>
      <w:pPr>
        <w:pStyle w:val="ListParagraph"/>
        <w:numPr>
          <w:ilvl w:val="false"/>
          <w:numId w:val="{bullets-0}"/>
        </w:numPr>
      </w:pPr>
      <w:r>
        <w:rPr>
          <w:rFonts w:ascii="Arial" w:cs="Arial" w:eastAsia="Arial" w:hAnsi="Arial"/>
          <w:sz w:val="24"/>
          <w:szCs w:val="24"/>
        </w:rPr>
        <w:t xml:space="preserve">Detects: Melting/refining origin of titanium, aluminum, tungsten, etc.</w:t>
      </w:r>
    </w:p>
    <w:p>
      <w:pPr>
        <w:pStyle w:val="ListParagraph"/>
        <w:numPr>
          <w:ilvl w:val="false"/>
          <w:numId w:val="{bullets-0}"/>
        </w:numPr>
      </w:pPr>
      <w:r>
        <w:rPr>
          <w:rFonts w:ascii="Arial" w:cs="Arial" w:eastAsia="Arial" w:hAnsi="Arial"/>
          <w:sz w:val="24"/>
          <w:szCs w:val="24"/>
        </w:rPr>
        <w:t xml:space="preserve">Rule: Melting/refining must be in US or FTA country</w:t>
      </w:r>
    </w:p>
    <w:p>
      <w:pPr>
        <w:pStyle w:val="ListParagraph"/>
        <w:numPr>
          <w:ilvl w:val="false"/>
          <w:numId w:val="{bullets-0}"/>
        </w:numPr>
      </w:pPr>
      <w:r>
        <w:rPr>
          <w:rFonts w:ascii="Arial" w:cs="Arial" w:eastAsia="Arial" w:hAnsi="Arial"/>
          <w:sz w:val="24"/>
          <w:szCs w:val="24"/>
        </w:rPr>
        <w:t xml:space="preserve">Data source: Entity location, supply chain tier, SAM.gov assertions</w:t>
      </w:r>
    </w:p>
    <w:p>
      <w:pPr>
        <w:spacing w:after="0" w:before="120"/>
      </w:pPr>
      <w:r>
        <w:t xml:space="preserve"/>
      </w:r>
    </w:p>
    <w:p>
      <w:pPr>
        <w:pStyle w:val="Heading3"/>
        <w:spacing w:after="8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Gate 5: DFARS 252.204-7012 (Covered Defense Information)</w:t>
      </w:r>
    </w:p>
    <w:p>
      <w:pPr>
        <w:pStyle w:val="ListParagraph"/>
        <w:numPr>
          <w:ilvl w:val="false"/>
          <w:numId w:val="{bullets-0}"/>
        </w:numPr>
      </w:pPr>
      <w:r>
        <w:rPr>
          <w:rFonts w:ascii="Arial" w:cs="Arial" w:eastAsia="Arial" w:hAnsi="Arial"/>
          <w:sz w:val="24"/>
          <w:szCs w:val="24"/>
        </w:rPr>
        <w:t xml:space="preserve">Detects: CDI (Controlled Defense Information) handling capability</w:t>
      </w:r>
    </w:p>
    <w:p>
      <w:pPr>
        <w:pStyle w:val="ListParagraph"/>
        <w:numPr>
          <w:ilvl w:val="false"/>
          <w:numId w:val="{bullets-0}"/>
        </w:numPr>
      </w:pPr>
      <w:r>
        <w:rPr>
          <w:rFonts w:ascii="Arial" w:cs="Arial" w:eastAsia="Arial" w:hAnsi="Arial"/>
          <w:sz w:val="24"/>
          <w:szCs w:val="24"/>
        </w:rPr>
        <w:t xml:space="preserve">Rule: Must have NIST SP 800-171 compliance (or equivalent CMMC 2.0 L2+)</w:t>
      </w:r>
    </w:p>
    <w:p>
      <w:pPr>
        <w:pStyle w:val="ListParagraph"/>
        <w:numPr>
          <w:ilvl w:val="false"/>
          <w:numId w:val="{bullets-0}"/>
        </w:numPr>
      </w:pPr>
      <w:r>
        <w:rPr>
          <w:rFonts w:ascii="Arial" w:cs="Arial" w:eastAsia="Arial" w:hAnsi="Arial"/>
          <w:sz w:val="24"/>
          <w:szCs w:val="24"/>
        </w:rPr>
        <w:t xml:space="preserve">Data source: SAM.gov CMMC certification, self-assertions, audit history</w:t>
      </w:r>
    </w:p>
    <w:p>
      <w:pPr>
        <w:spacing w:after="0" w:before="120"/>
      </w:pPr>
      <w:r>
        <w:t xml:space="preserve"/>
      </w:r>
    </w:p>
    <w:p>
      <w:pPr>
        <w:pStyle w:val="Heading3"/>
        <w:spacing w:after="8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Gate 6: CMMC 2.0</w:t>
      </w:r>
    </w:p>
    <w:p>
      <w:pPr>
        <w:pStyle w:val="ListParagraph"/>
        <w:numPr>
          <w:ilvl w:val="false"/>
          <w:numId w:val="{bullets-0}"/>
        </w:numPr>
      </w:pPr>
      <w:r>
        <w:rPr>
          <w:rFonts w:ascii="Arial" w:cs="Arial" w:eastAsia="Arial" w:hAnsi="Arial"/>
          <w:sz w:val="24"/>
          <w:szCs w:val="24"/>
        </w:rPr>
        <w:t xml:space="preserve">Detects: Current CMMC certification level</w:t>
      </w:r>
    </w:p>
    <w:p>
      <w:pPr>
        <w:pStyle w:val="ListParagraph"/>
        <w:numPr>
          <w:ilvl w:val="false"/>
          <w:numId w:val="{bullets-0}"/>
        </w:numPr>
      </w:pPr>
      <w:r>
        <w:rPr>
          <w:rFonts w:ascii="Arial" w:cs="Arial" w:eastAsia="Arial" w:hAnsi="Arial"/>
          <w:sz w:val="24"/>
          <w:szCs w:val="24"/>
        </w:rPr>
        <w:t xml:space="preserve">Rule: L2 (800-171 equivalent) or higher for CUI handling</w:t>
      </w:r>
    </w:p>
    <w:p>
      <w:pPr>
        <w:pStyle w:val="ListParagraph"/>
        <w:numPr>
          <w:ilvl w:val="false"/>
          <w:numId w:val="{bullets-0}"/>
        </w:numPr>
      </w:pPr>
      <w:r>
        <w:rPr>
          <w:rFonts w:ascii="Arial" w:cs="Arial" w:eastAsia="Arial" w:hAnsi="Arial"/>
          <w:sz w:val="24"/>
          <w:szCs w:val="24"/>
        </w:rPr>
        <w:t xml:space="preserve">Data source: CMMC Accreditation Body registry, self-assertion</w:t>
      </w:r>
    </w:p>
    <w:p>
      <w:pPr>
        <w:spacing w:after="0" w:before="120"/>
      </w:pPr>
      <w:r>
        <w:t xml:space="preserve"/>
      </w:r>
    </w:p>
    <w:p>
      <w:pPr>
        <w:pStyle w:val="Heading3"/>
        <w:spacing w:after="8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Gate 7: FOCI (Foreign Ownership/Control)</w:t>
      </w:r>
    </w:p>
    <w:p>
      <w:pPr>
        <w:pStyle w:val="ListParagraph"/>
        <w:numPr>
          <w:ilvl w:val="false"/>
          <w:numId w:val="{bullets-0}"/>
        </w:numPr>
      </w:pPr>
      <w:r>
        <w:rPr>
          <w:rFonts w:ascii="Arial" w:cs="Arial" w:eastAsia="Arial" w:hAnsi="Arial"/>
          <w:sz w:val="24"/>
          <w:szCs w:val="24"/>
        </w:rPr>
        <w:t xml:space="preserve">Detects: Foreign ownership ≥25% OR foreign national director/board member</w:t>
      </w:r>
    </w:p>
    <w:p>
      <w:pPr>
        <w:pStyle w:val="ListParagraph"/>
        <w:numPr>
          <w:ilvl w:val="false"/>
          <w:numId w:val="{bullets-0}"/>
        </w:numPr>
      </w:pPr>
      <w:r>
        <w:rPr>
          <w:rFonts w:ascii="Arial" w:cs="Arial" w:eastAsia="Arial" w:hAnsi="Arial"/>
          <w:sz w:val="24"/>
          <w:szCs w:val="24"/>
        </w:rPr>
        <w:t xml:space="preserve">Rule: Foreign-controlled entity requires mitigation agreement (FOCI ruling)</w:t>
      </w:r>
    </w:p>
    <w:p>
      <w:pPr>
        <w:pStyle w:val="ListParagraph"/>
        <w:numPr>
          <w:ilvl w:val="false"/>
          <w:numId w:val="{bullets-0}"/>
        </w:numPr>
      </w:pPr>
      <w:r>
        <w:rPr>
          <w:rFonts w:ascii="Arial" w:cs="Arial" w:eastAsia="Arial" w:hAnsi="Arial"/>
          <w:sz w:val="24"/>
          <w:szCs w:val="24"/>
        </w:rPr>
        <w:t xml:space="preserve">Data source: GLEIF parent chain, SEC filings, SAM.gov corporate relationships</w:t>
      </w:r>
    </w:p>
    <w:p>
      <w:pPr>
        <w:spacing w:after="0" w:before="120"/>
      </w:pPr>
      <w:r>
        <w:t xml:space="preserve"/>
      </w:r>
    </w:p>
    <w:p>
      <w:pPr>
        <w:pStyle w:val="Heading3"/>
        <w:spacing w:after="8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Gate 8: NDAA Section 1260H (CMC List)</w:t>
      </w:r>
    </w:p>
    <w:p>
      <w:pPr>
        <w:pStyle w:val="ListParagraph"/>
        <w:numPr>
          <w:ilvl w:val="false"/>
          <w:numId w:val="{bullets-0}"/>
        </w:numPr>
      </w:pPr>
      <w:r>
        <w:rPr>
          <w:rFonts w:ascii="Arial" w:cs="Arial" w:eastAsia="Arial" w:hAnsi="Arial"/>
          <w:sz w:val="24"/>
          <w:szCs w:val="24"/>
        </w:rPr>
        <w:t xml:space="preserve">Detects: Entity on NDAA Section 1260H Chinese Military Companies list</w:t>
      </w:r>
    </w:p>
    <w:p>
      <w:pPr>
        <w:pStyle w:val="ListParagraph"/>
        <w:numPr>
          <w:ilvl w:val="false"/>
          <w:numId w:val="{bullets-0}"/>
        </w:numPr>
      </w:pPr>
      <w:r>
        <w:rPr>
          <w:rFonts w:ascii="Arial" w:cs="Arial" w:eastAsia="Arial" w:hAnsi="Arial"/>
          <w:sz w:val="24"/>
          <w:szCs w:val="24"/>
        </w:rPr>
        <w:t xml:space="preserve">Rule: Automatic prohibition from federal contracting</w:t>
      </w:r>
    </w:p>
    <w:p>
      <w:pPr>
        <w:pStyle w:val="ListParagraph"/>
        <w:numPr>
          <w:ilvl w:val="false"/>
          <w:numId w:val="{bullets-0}"/>
        </w:numPr>
      </w:pPr>
      <w:r>
        <w:rPr>
          <w:rFonts w:ascii="Arial" w:cs="Arial" w:eastAsia="Arial" w:hAnsi="Arial"/>
          <w:sz w:val="24"/>
          <w:szCs w:val="24"/>
        </w:rPr>
        <w:t xml:space="preserve">Data source: Trade.gov Consolidated Screening List (OFAC/BIS/State)</w:t>
      </w:r>
    </w:p>
    <w:p>
      <w:pPr>
        <w:spacing w:after="0" w:before="120"/>
      </w:pPr>
      <w:r>
        <w:t xml:space="preserve"/>
      </w:r>
    </w:p>
    <w:p>
      <w:pPr>
        <w:pStyle w:val="Heading3"/>
        <w:spacing w:after="8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Gate 9: CFIUS Jurisdiction</w:t>
      </w:r>
    </w:p>
    <w:p>
      <w:pPr>
        <w:pStyle w:val="ListParagraph"/>
        <w:numPr>
          <w:ilvl w:val="false"/>
          <w:numId w:val="{bullets-0}"/>
        </w:numPr>
      </w:pPr>
      <w:r>
        <w:rPr>
          <w:rFonts w:ascii="Arial" w:cs="Arial" w:eastAsia="Arial" w:hAnsi="Arial"/>
          <w:sz w:val="24"/>
          <w:szCs w:val="24"/>
        </w:rPr>
        <w:t xml:space="preserve">Detects: Foreign direct investment in CFIUS-sensitive sector by foreign national</w:t>
      </w:r>
    </w:p>
    <w:p>
      <w:pPr>
        <w:pStyle w:val="ListParagraph"/>
        <w:numPr>
          <w:ilvl w:val="false"/>
          <w:numId w:val="{bullets-0}"/>
        </w:numPr>
      </w:pPr>
      <w:r>
        <w:rPr>
          <w:rFonts w:ascii="Arial" w:cs="Arial" w:eastAsia="Arial" w:hAnsi="Arial"/>
          <w:sz w:val="24"/>
          <w:szCs w:val="24"/>
        </w:rPr>
        <w:t xml:space="preserve">Rule: Requires CFIUS review/approval</w:t>
      </w:r>
    </w:p>
    <w:p>
      <w:pPr>
        <w:pStyle w:val="ListParagraph"/>
        <w:numPr>
          <w:ilvl w:val="false"/>
          <w:numId w:val="{bullets-0}"/>
        </w:numPr>
      </w:pPr>
      <w:r>
        <w:rPr>
          <w:rFonts w:ascii="Arial" w:cs="Arial" w:eastAsia="Arial" w:hAnsi="Arial"/>
          <w:sz w:val="24"/>
          <w:szCs w:val="24"/>
        </w:rPr>
        <w:t xml:space="preserve">Data source: SAM.gov sector, ownership chain, foreign principal assessment</w:t>
      </w:r>
    </w:p>
    <w:p>
      <w:pPr>
        <w:spacing w:after="0" w:before="120"/>
      </w:pPr>
      <w:r>
        <w:t xml:space="preserve"/>
      </w:r>
    </w:p>
    <w:p>
      <w:pPr>
        <w:pStyle w:val="Heading3"/>
        <w:spacing w:after="8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Gate 10: Berry Amendment (10 USC §4862)</w:t>
      </w:r>
    </w:p>
    <w:p>
      <w:pPr>
        <w:pStyle w:val="ListParagraph"/>
        <w:numPr>
          <w:ilvl w:val="false"/>
          <w:numId w:val="{bullets-0}"/>
        </w:numPr>
      </w:pPr>
      <w:r>
        <w:rPr>
          <w:rFonts w:ascii="Arial" w:cs="Arial" w:eastAsia="Arial" w:hAnsi="Arial"/>
          <w:sz w:val="24"/>
          <w:szCs w:val="24"/>
        </w:rPr>
        <w:t xml:space="preserve">Detects: Requirement for US-origin food, clothing, specialty metals for DoD</w:t>
      </w:r>
    </w:p>
    <w:p>
      <w:pPr>
        <w:pStyle w:val="ListParagraph"/>
        <w:numPr>
          <w:ilvl w:val="false"/>
          <w:numId w:val="{bullets-0}"/>
        </w:numPr>
      </w:pPr>
      <w:r>
        <w:rPr>
          <w:rFonts w:ascii="Arial" w:cs="Arial" w:eastAsia="Arial" w:hAnsi="Arial"/>
          <w:sz w:val="24"/>
          <w:szCs w:val="24"/>
        </w:rPr>
        <w:t xml:space="preserve">Rule: Only domestic producers eligible (subject to waiver process)</w:t>
      </w:r>
    </w:p>
    <w:p>
      <w:pPr>
        <w:pStyle w:val="ListParagraph"/>
        <w:numPr>
          <w:ilvl w:val="false"/>
          <w:numId w:val="{bullets-0}"/>
        </w:numPr>
      </w:pPr>
      <w:r>
        <w:rPr>
          <w:rFonts w:ascii="Arial" w:cs="Arial" w:eastAsia="Arial" w:hAnsi="Arial"/>
          <w:sz w:val="24"/>
          <w:szCs w:val="24"/>
        </w:rPr>
        <w:t xml:space="preserve">Data source: Entity location, supply chain origin, GSA category</w:t>
      </w:r>
    </w:p>
    <w:p>
      <w:r>
        <w:br w:type="page"/>
      </w:r>
    </w:p>
    <w:p>
      <w:pPr>
        <w:pStyle w:val="Heading1"/>
        <w:spacing w:after="240" w:before="240"/>
      </w:pPr>
      <w:r>
        <w:rPr>
          <w:rFonts w:ascii="Arial" w:cs="Arial" w:eastAsia="Arial" w:hAnsi="Arial"/>
          <w:b/>
          <w:bCs/>
          <w:color w:val="C4A052"/>
          <w:sz w:val="32"/>
          <w:szCs w:val="32"/>
        </w:rPr>
        <w:t xml:space="preserve">4. OSINT Enrichment Pipeline</w:t>
      </w:r>
    </w:p>
    <w:p>
      <w:pPr>
        <w:spacing w:line="36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Helios operates 27 independent OSINT connectors that query authoritative government, commercial, and research databases. All connectors run in parallel with per-connector 30s timeout.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180"/>
      </w:pPr>
      <w:r>
        <w:rPr>
          <w:rFonts w:ascii="Arial" w:cs="Arial" w:eastAsia="Arial" w:hAnsi="Arial"/>
          <w:b/>
          <w:bCs/>
          <w:color w:val="C4A052"/>
          <w:sz w:val="28"/>
          <w:szCs w:val="28"/>
        </w:rPr>
        <w:t xml:space="preserve">4.1 The 27 Connectors</w:t>
      </w:r>
    </w:p>
    <w:p>
      <w:pPr>
        <w:spacing w:after="0" w:before="80"/>
      </w:pPr>
      <w:r>
        <w:t xml:space="preserve"/>
      </w:r>
    </w:p>
    <w:p>
      <w:pPr>
        <w:pStyle w:val="Heading3"/>
        <w:spacing w:after="8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Sanctions &amp; Restricted Parties (8)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1200"/>
        <w:gridCol w:w="3160"/>
      </w:tblGrid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C4A052" w:sz="2"/>
              <w:right w:val="single" w:color="E5E7EB" w:sz="1"/>
            </w:tcBorders>
            <w:shd w:fill="C4A05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a0e17"/>
                <w:sz w:val="24"/>
                <w:szCs w:val="24"/>
              </w:rPr>
              <w:t xml:space="preserve">Connector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C4A052" w:sz="2"/>
              <w:right w:val="single" w:color="E5E7EB" w:sz="1"/>
            </w:tcBorders>
            <w:shd w:fill="C4A05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a0e17"/>
                <w:sz w:val="24"/>
                <w:szCs w:val="24"/>
              </w:rPr>
              <w:t xml:space="preserve">API Endpoint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C4A052" w:sz="2"/>
              <w:right w:val="single" w:color="E5E7EB" w:sz="1"/>
            </w:tcBorders>
            <w:shd w:fill="C4A05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a0e17"/>
                <w:sz w:val="24"/>
                <w:szCs w:val="24"/>
              </w:rPr>
              <w:t xml:space="preserve">Reliability</w:t>
            </w:r>
          </w:p>
        </w:tc>
        <w:tc>
          <w:tcPr>
            <w:tcW w:type="dxa" w:w="3160"/>
            <w:tcBorders>
              <w:top w:val="single" w:color="E5E7EB" w:sz="1"/>
              <w:left w:val="single" w:color="E5E7EB" w:sz="1"/>
              <w:bottom w:val="single" w:color="C4A052" w:sz="2"/>
              <w:right w:val="single" w:color="E5E7EB" w:sz="1"/>
            </w:tcBorders>
            <w:shd w:fill="C4A05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a0e17"/>
                <w:sz w:val="24"/>
                <w:szCs w:val="24"/>
              </w:rPr>
              <w:t xml:space="preserve">Provides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SAM.gov Exclusions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api.sam.gov/entity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0.95</w:t>
            </w:r>
          </w:p>
        </w:tc>
        <w:tc>
          <w:tcPr>
            <w:tcW w:type="dxa" w:w="3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Federal exclusions, debarments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Trade CSL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trade.gov/csl/api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0.95</w:t>
            </w:r>
          </w:p>
        </w:tc>
        <w:tc>
          <w:tcPr>
            <w:tcW w:type="dxa" w:w="3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Consolidated Screening List (13 US lists)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UN Sanctions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un.org/depts/fastats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0.95</w:t>
            </w:r>
          </w:p>
        </w:tc>
        <w:tc>
          <w:tcPr>
            <w:tcW w:type="dxa" w:w="3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UN Security Council entities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OFAC SDN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treasury.gov/ofac/api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0.95</w:t>
            </w:r>
          </w:p>
        </w:tc>
        <w:tc>
          <w:tcPr>
            <w:tcW w:type="dxa" w:w="3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US Treasury Specially Designated Nationals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EU Sanctions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ec.europa.eu/info/cfsp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0.92</w:t>
            </w:r>
          </w:p>
        </w:tc>
        <w:tc>
          <w:tcPr>
            <w:tcW w:type="dxa" w:w="3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EU CFSP consolidated list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UK HMT Sanctions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assets.publishing.service.gov.uk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0.92</w:t>
            </w:r>
          </w:p>
        </w:tc>
        <w:tc>
          <w:tcPr>
            <w:tcW w:type="dxa" w:w="3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UK HM Treasury sanctions list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World Bank Debarred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debarredlist.org/api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0.85</w:t>
            </w:r>
          </w:p>
        </w:tc>
        <w:tc>
          <w:tcPr>
            <w:tcW w:type="dxa" w:w="3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Multi-development bank debarments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OpenSanctions PEP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api.opensanctions.org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0.80</w:t>
            </w:r>
          </w:p>
        </w:tc>
        <w:tc>
          <w:tcPr>
            <w:tcW w:type="dxa" w:w="3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Politically Exposed Persons via OpenSanctions</w:t>
            </w:r>
          </w:p>
        </w:tc>
      </w:tr>
    </w:tbl>
    <w:p>
      <w:pPr>
        <w:spacing w:after="0" w:before="240"/>
      </w:pPr>
      <w:r>
        <w:t xml:space="preserve"/>
      </w:r>
    </w:p>
    <w:p>
      <w:pPr>
        <w:pStyle w:val="Heading3"/>
        <w:spacing w:after="8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Corporate Identity &amp; Ownership (6)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1200"/>
        <w:gridCol w:w="3160"/>
      </w:tblGrid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C4A052" w:sz="2"/>
              <w:right w:val="single" w:color="E5E7EB" w:sz="1"/>
            </w:tcBorders>
            <w:shd w:fill="C4A05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a0e17"/>
                <w:sz w:val="24"/>
                <w:szCs w:val="24"/>
              </w:rPr>
              <w:t xml:space="preserve">Connector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C4A052" w:sz="2"/>
              <w:right w:val="single" w:color="E5E7EB" w:sz="1"/>
            </w:tcBorders>
            <w:shd w:fill="C4A05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a0e17"/>
                <w:sz w:val="24"/>
                <w:szCs w:val="24"/>
              </w:rPr>
              <w:t xml:space="preserve">API Endpoint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C4A052" w:sz="2"/>
              <w:right w:val="single" w:color="E5E7EB" w:sz="1"/>
            </w:tcBorders>
            <w:shd w:fill="C4A05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a0e17"/>
                <w:sz w:val="24"/>
                <w:szCs w:val="24"/>
              </w:rPr>
              <w:t xml:space="preserve">Reliability</w:t>
            </w:r>
          </w:p>
        </w:tc>
        <w:tc>
          <w:tcPr>
            <w:tcW w:type="dxa" w:w="3160"/>
            <w:tcBorders>
              <w:top w:val="single" w:color="E5E7EB" w:sz="1"/>
              <w:left w:val="single" w:color="E5E7EB" w:sz="1"/>
              <w:bottom w:val="single" w:color="C4A052" w:sz="2"/>
              <w:right w:val="single" w:color="E5E7EB" w:sz="1"/>
            </w:tcBorders>
            <w:shd w:fill="C4A05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a0e17"/>
                <w:sz w:val="24"/>
                <w:szCs w:val="24"/>
              </w:rPr>
              <w:t xml:space="preserve">Provides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SEC EDGAR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sec.gov/cgi-bin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0.85</w:t>
            </w:r>
          </w:p>
        </w:tc>
        <w:tc>
          <w:tcPr>
            <w:tcW w:type="dxa" w:w="3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Public company filings, CIK, ticker, financials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GLEIF LEI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api.gleif.org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0.85</w:t>
            </w:r>
          </w:p>
        </w:tc>
        <w:tc>
          <w:tcPr>
            <w:tcW w:type="dxa" w:w="3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Legal Entity Identifiers, parent chains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OpenCorporates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api.opencorporates.com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0.70</w:t>
            </w:r>
          </w:p>
        </w:tc>
        <w:tc>
          <w:tcPr>
            <w:tcW w:type="dxa" w:w="3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Global corporate registry, officers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UK Companies House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api.companieshouse.gov.uk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0.85</w:t>
            </w:r>
          </w:p>
        </w:tc>
        <w:tc>
          <w:tcPr>
            <w:tcW w:type="dxa" w:w="3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UK entity registration, beneficial owners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Wikidata Company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query.wikidata.org/sparql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0.60</w:t>
            </w:r>
          </w:p>
        </w:tc>
        <w:tc>
          <w:tcPr>
            <w:tcW w:type="dxa" w:w="3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Company metadata, employee count, stock exchange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SAM.gov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api.sam.gov/entity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0.95</w:t>
            </w:r>
          </w:p>
        </w:tc>
        <w:tc>
          <w:tcPr>
            <w:tcW w:type="dxa" w:w="3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UEI, CAGE, federal registration, ownership chain</w:t>
            </w:r>
          </w:p>
        </w:tc>
      </w:tr>
    </w:tbl>
    <w:p>
      <w:pPr>
        <w:spacing w:after="0" w:before="240"/>
      </w:pPr>
      <w:r>
        <w:t xml:space="preserve"/>
      </w:r>
    </w:p>
    <w:p>
      <w:pPr>
        <w:pStyle w:val="Heading3"/>
        <w:spacing w:after="8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Government Contracts &amp; Registration (4)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1200"/>
        <w:gridCol w:w="3160"/>
      </w:tblGrid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C4A052" w:sz="2"/>
              <w:right w:val="single" w:color="E5E7EB" w:sz="1"/>
            </w:tcBorders>
            <w:shd w:fill="C4A05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a0e17"/>
                <w:sz w:val="24"/>
                <w:szCs w:val="24"/>
              </w:rPr>
              <w:t xml:space="preserve">Connector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C4A052" w:sz="2"/>
              <w:right w:val="single" w:color="E5E7EB" w:sz="1"/>
            </w:tcBorders>
            <w:shd w:fill="C4A05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a0e17"/>
                <w:sz w:val="24"/>
                <w:szCs w:val="24"/>
              </w:rPr>
              <w:t xml:space="preserve">API Endpoint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C4A052" w:sz="2"/>
              <w:right w:val="single" w:color="E5E7EB" w:sz="1"/>
            </w:tcBorders>
            <w:shd w:fill="C4A05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a0e17"/>
                <w:sz w:val="24"/>
                <w:szCs w:val="24"/>
              </w:rPr>
              <w:t xml:space="preserve">Reliability</w:t>
            </w:r>
          </w:p>
        </w:tc>
        <w:tc>
          <w:tcPr>
            <w:tcW w:type="dxa" w:w="3160"/>
            <w:tcBorders>
              <w:top w:val="single" w:color="E5E7EB" w:sz="1"/>
              <w:left w:val="single" w:color="E5E7EB" w:sz="1"/>
              <w:bottom w:val="single" w:color="C4A052" w:sz="2"/>
              <w:right w:val="single" w:color="E5E7EB" w:sz="1"/>
            </w:tcBorders>
            <w:shd w:fill="C4A05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a0e17"/>
                <w:sz w:val="24"/>
                <w:szCs w:val="24"/>
              </w:rPr>
              <w:t xml:space="preserve">Provides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USAspending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api.usaspending.gov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0.85</w:t>
            </w:r>
          </w:p>
        </w:tc>
        <w:tc>
          <w:tcPr>
            <w:tcW w:type="dxa" w:w="3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Federal contract awards and subawards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FPDS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api.sam.gov/fpds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0.90</w:t>
            </w:r>
          </w:p>
        </w:tc>
        <w:tc>
          <w:tcPr>
            <w:tcW w:type="dxa" w:w="3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Federal Procurement Data System (historical contracts)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SBIR Awards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api.sbir.gov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0.85</w:t>
            </w:r>
          </w:p>
        </w:tc>
        <w:tc>
          <w:tcPr>
            <w:tcW w:type="dxa" w:w="3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Small Business Innovation Research award history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SAM Registration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api.sam.gov/entity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0.95</w:t>
            </w:r>
          </w:p>
        </w:tc>
        <w:tc>
          <w:tcPr>
            <w:tcW w:type="dxa" w:w="3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Current SAM.gov registration status</w:t>
            </w:r>
          </w:p>
        </w:tc>
      </w:tr>
    </w:tbl>
    <w:p>
      <w:pPr>
        <w:spacing w:after="0" w:before="240"/>
      </w:pPr>
      <w:r>
        <w:t xml:space="preserve"/>
      </w:r>
    </w:p>
    <w:p>
      <w:pPr>
        <w:pStyle w:val="Heading3"/>
        <w:spacing w:after="8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Adverse Media &amp; Litigation (4)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1200"/>
        <w:gridCol w:w="3160"/>
      </w:tblGrid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C4A052" w:sz="2"/>
              <w:right w:val="single" w:color="E5E7EB" w:sz="1"/>
            </w:tcBorders>
            <w:shd w:fill="C4A05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a0e17"/>
                <w:sz w:val="24"/>
                <w:szCs w:val="24"/>
              </w:rPr>
              <w:t xml:space="preserve">Connector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C4A052" w:sz="2"/>
              <w:right w:val="single" w:color="E5E7EB" w:sz="1"/>
            </w:tcBorders>
            <w:shd w:fill="C4A05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a0e17"/>
                <w:sz w:val="24"/>
                <w:szCs w:val="24"/>
              </w:rPr>
              <w:t xml:space="preserve">API Endpoint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C4A052" w:sz="2"/>
              <w:right w:val="single" w:color="E5E7EB" w:sz="1"/>
            </w:tcBorders>
            <w:shd w:fill="C4A05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a0e17"/>
                <w:sz w:val="24"/>
                <w:szCs w:val="24"/>
              </w:rPr>
              <w:t xml:space="preserve">Reliability</w:t>
            </w:r>
          </w:p>
        </w:tc>
        <w:tc>
          <w:tcPr>
            <w:tcW w:type="dxa" w:w="3160"/>
            <w:tcBorders>
              <w:top w:val="single" w:color="E5E7EB" w:sz="1"/>
              <w:left w:val="single" w:color="E5E7EB" w:sz="1"/>
              <w:bottom w:val="single" w:color="C4A052" w:sz="2"/>
              <w:right w:val="single" w:color="E5E7EB" w:sz="1"/>
            </w:tcBorders>
            <w:shd w:fill="C4A05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a0e17"/>
                <w:sz w:val="24"/>
                <w:szCs w:val="24"/>
              </w:rPr>
              <w:t xml:space="preserve">Provides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GDELT Media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gdeltproject.org/api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0.50</w:t>
            </w:r>
          </w:p>
        </w:tc>
        <w:tc>
          <w:tcPr>
            <w:tcW w:type="dxa" w:w="3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News media mentions (adverse, political, material)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Google News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news.google.com/rss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0.45</w:t>
            </w:r>
          </w:p>
        </w:tc>
        <w:tc>
          <w:tcPr>
            <w:tcW w:type="dxa" w:w="3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Recent news RSS feed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CourtListener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api.courtlistener.com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0.80</w:t>
            </w:r>
          </w:p>
        </w:tc>
        <w:tc>
          <w:tcPr>
            <w:tcW w:type="dxa" w:w="3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Federal/state litigation, bankruptcy, sanctions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ICIJ Offshore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icij.org/investigations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0.70</w:t>
            </w:r>
          </w:p>
        </w:tc>
        <w:tc>
          <w:tcPr>
            <w:tcW w:type="dxa" w:w="3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Panama Papers, Paradise Papers, Pandora Papers</w:t>
            </w:r>
          </w:p>
        </w:tc>
      </w:tr>
    </w:tbl>
    <w:p>
      <w:pPr>
        <w:spacing w:after="0" w:before="240"/>
      </w:pPr>
      <w:r>
        <w:t xml:space="preserve"/>
      </w:r>
    </w:p>
    <w:p>
      <w:pPr>
        <w:pStyle w:val="Heading3"/>
        <w:spacing w:after="8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Regulatory &amp; Compliance (4)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1200"/>
        <w:gridCol w:w="3160"/>
      </w:tblGrid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C4A052" w:sz="2"/>
              <w:right w:val="single" w:color="E5E7EB" w:sz="1"/>
            </w:tcBorders>
            <w:shd w:fill="C4A05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a0e17"/>
                <w:sz w:val="24"/>
                <w:szCs w:val="24"/>
              </w:rPr>
              <w:t xml:space="preserve">Connector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C4A052" w:sz="2"/>
              <w:right w:val="single" w:color="E5E7EB" w:sz="1"/>
            </w:tcBorders>
            <w:shd w:fill="C4A05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a0e17"/>
                <w:sz w:val="24"/>
                <w:szCs w:val="24"/>
              </w:rPr>
              <w:t xml:space="preserve">API Endpoint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C4A052" w:sz="2"/>
              <w:right w:val="single" w:color="E5E7EB" w:sz="1"/>
            </w:tcBorders>
            <w:shd w:fill="C4A05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a0e17"/>
                <w:sz w:val="24"/>
                <w:szCs w:val="24"/>
              </w:rPr>
              <w:t xml:space="preserve">Reliability</w:t>
            </w:r>
          </w:p>
        </w:tc>
        <w:tc>
          <w:tcPr>
            <w:tcW w:type="dxa" w:w="3160"/>
            <w:tcBorders>
              <w:top w:val="single" w:color="E5E7EB" w:sz="1"/>
              <w:left w:val="single" w:color="E5E7EB" w:sz="1"/>
              <w:bottom w:val="single" w:color="C4A052" w:sz="2"/>
              <w:right w:val="single" w:color="E5E7EB" w:sz="1"/>
            </w:tcBorders>
            <w:shd w:fill="C4A05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a0e17"/>
                <w:sz w:val="24"/>
                <w:szCs w:val="24"/>
              </w:rPr>
              <w:t xml:space="preserve">Provides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EPA ECHO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echo.epa.gov/api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0.90</w:t>
            </w:r>
          </w:p>
        </w:tc>
        <w:tc>
          <w:tcPr>
            <w:tcW w:type="dxa" w:w="3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Environmental violations, penalties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OSHA Safety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data.osha.gov/api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0.90</w:t>
            </w:r>
          </w:p>
        </w:tc>
        <w:tc>
          <w:tcPr>
            <w:tcW w:type="dxa" w:w="3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Workplace safety violations, citations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FDIC BankFind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bankfind.fdic.gov/api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0.80</w:t>
            </w:r>
          </w:p>
        </w:tc>
        <w:tc>
          <w:tcPr>
            <w:tcW w:type="dxa" w:w="3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Bank regulatory data, FDIC status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CISA KEV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cisa.gov/known-exploited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0.90</w:t>
            </w:r>
          </w:p>
        </w:tc>
        <w:tc>
          <w:tcPr>
            <w:tcW w:type="dxa" w:w="3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Known exploited vulnerabilities</w:t>
            </w:r>
          </w:p>
        </w:tc>
      </w:tr>
    </w:tbl>
    <w:p>
      <w:pPr>
        <w:spacing w:after="0" w:before="240"/>
      </w:pPr>
      <w:r>
        <w:t xml:space="preserve"/>
      </w:r>
    </w:p>
    <w:p>
      <w:pPr>
        <w:pStyle w:val="Heading3"/>
        <w:spacing w:after="8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Foreign Influence &amp; Intelligence (1)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1200"/>
        <w:gridCol w:w="3160"/>
      </w:tblGrid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C4A052" w:sz="2"/>
              <w:right w:val="single" w:color="E5E7EB" w:sz="1"/>
            </w:tcBorders>
            <w:shd w:fill="C4A05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a0e17"/>
                <w:sz w:val="24"/>
                <w:szCs w:val="24"/>
              </w:rPr>
              <w:t xml:space="preserve">Connector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C4A052" w:sz="2"/>
              <w:right w:val="single" w:color="E5E7EB" w:sz="1"/>
            </w:tcBorders>
            <w:shd w:fill="C4A05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a0e17"/>
                <w:sz w:val="24"/>
                <w:szCs w:val="24"/>
              </w:rPr>
              <w:t xml:space="preserve">API Endpoint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C4A052" w:sz="2"/>
              <w:right w:val="single" w:color="E5E7EB" w:sz="1"/>
            </w:tcBorders>
            <w:shd w:fill="C4A05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a0e17"/>
                <w:sz w:val="24"/>
                <w:szCs w:val="24"/>
              </w:rPr>
              <w:t xml:space="preserve">Reliability</w:t>
            </w:r>
          </w:p>
        </w:tc>
        <w:tc>
          <w:tcPr>
            <w:tcW w:type="dxa" w:w="3160"/>
            <w:tcBorders>
              <w:top w:val="single" w:color="E5E7EB" w:sz="1"/>
              <w:left w:val="single" w:color="E5E7EB" w:sz="1"/>
              <w:bottom w:val="single" w:color="C4A052" w:sz="2"/>
              <w:right w:val="single" w:color="E5E7EB" w:sz="1"/>
            </w:tcBorders>
            <w:shd w:fill="C4A05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a0e17"/>
                <w:sz w:val="24"/>
                <w:szCs w:val="24"/>
              </w:rPr>
              <w:t xml:space="preserve">Provides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FARA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justice.gov/nsd-fara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0.90</w:t>
            </w:r>
          </w:p>
        </w:tc>
        <w:tc>
          <w:tcPr>
            <w:tcW w:type="dxa" w:w="3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DOJ FARA foreign agent registrations</w:t>
            </w:r>
          </w:p>
        </w:tc>
      </w:tr>
    </w:tbl>
    <w:p>
      <w:pPr>
        <w:spacing w:after="0" w:before="240"/>
      </w:pPr>
      <w:r>
        <w:t xml:space="preserve"/>
      </w:r>
    </w:p>
    <w:p>
      <w:pPr>
        <w:pStyle w:val="Heading3"/>
        <w:spacing w:after="8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Financial Data (1)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1200"/>
        <w:gridCol w:w="3160"/>
      </w:tblGrid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C4A052" w:sz="2"/>
              <w:right w:val="single" w:color="E5E7EB" w:sz="1"/>
            </w:tcBorders>
            <w:shd w:fill="C4A05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a0e17"/>
                <w:sz w:val="24"/>
                <w:szCs w:val="24"/>
              </w:rPr>
              <w:t xml:space="preserve">Connector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C4A052" w:sz="2"/>
              <w:right w:val="single" w:color="E5E7EB" w:sz="1"/>
            </w:tcBorders>
            <w:shd w:fill="C4A05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a0e17"/>
                <w:sz w:val="24"/>
                <w:szCs w:val="24"/>
              </w:rPr>
              <w:t xml:space="preserve">API Endpoint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C4A052" w:sz="2"/>
              <w:right w:val="single" w:color="E5E7EB" w:sz="1"/>
            </w:tcBorders>
            <w:shd w:fill="C4A05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a0e17"/>
                <w:sz w:val="24"/>
                <w:szCs w:val="24"/>
              </w:rPr>
              <w:t xml:space="preserve">Reliability</w:t>
            </w:r>
          </w:p>
        </w:tc>
        <w:tc>
          <w:tcPr>
            <w:tcW w:type="dxa" w:w="3160"/>
            <w:tcBorders>
              <w:top w:val="single" w:color="E5E7EB" w:sz="1"/>
              <w:left w:val="single" w:color="E5E7EB" w:sz="1"/>
              <w:bottom w:val="single" w:color="C4A052" w:sz="2"/>
              <w:right w:val="single" w:color="E5E7EB" w:sz="1"/>
            </w:tcBorders>
            <w:shd w:fill="C4A05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a0e17"/>
                <w:sz w:val="24"/>
                <w:szCs w:val="24"/>
              </w:rPr>
              <w:t xml:space="preserve">Provides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SEC XBRL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sec.gov/cgi-bin/viewer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0.90</w:t>
            </w:r>
          </w:p>
        </w:tc>
        <w:tc>
          <w:tcPr>
            <w:tcW w:type="dxa" w:w="3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XBRL-formatted financial data (revenue, assets, debt)</w:t>
            </w:r>
          </w:p>
        </w:tc>
      </w:tr>
    </w:tbl>
    <w:p>
      <w:pPr>
        <w:spacing w:after="0" w:before="240"/>
      </w:pPr>
      <w:r>
        <w:t xml:space="preserve"/>
      </w:r>
    </w:p>
    <w:p>
      <w:pPr>
        <w:pStyle w:val="Heading2"/>
        <w:spacing w:after="120" w:before="180"/>
      </w:pPr>
      <w:r>
        <w:rPr>
          <w:rFonts w:ascii="Arial" w:cs="Arial" w:eastAsia="Arial" w:hAnsi="Arial"/>
          <w:b/>
          <w:bCs/>
          <w:color w:val="C4A052"/>
          <w:sz w:val="28"/>
          <w:szCs w:val="28"/>
        </w:rPr>
        <w:t xml:space="preserve">4.2 Source Reliability Weights</w:t>
      </w:r>
    </w:p>
    <w:p>
      <w:pPr>
        <w:spacing w:line="36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Each connector is assigned a reliability weight (0.45–0.95) that reflects data authority and freshness:</w:t>
      </w:r>
    </w:p>
    <w:p>
      <w:pPr>
        <w:spacing w:after="0" w:before="80"/>
      </w:pPr>
      <w:r>
        <w:t xml:space="preserve"/>
      </w:r>
    </w:p>
    <w:p>
      <w:pPr>
        <w:pStyle w:val="ListParagraph"/>
        <w:numPr>
          <w:ilvl w:val="false"/>
          <w:numId w:val="{bullets-0}"/>
        </w:numPr>
      </w:pPr>
      <w:r>
        <w:rPr>
          <w:rFonts w:ascii="Arial" w:cs="Arial" w:eastAsia="Arial" w:hAnsi="Arial"/>
          <w:sz w:val="24"/>
          <w:szCs w:val="24"/>
        </w:rPr>
        <w:t xml:space="preserve">0.95: Government primary sources (SAM.gov, OFAC, GLEIF, UN, FPDS)</w:t>
      </w:r>
    </w:p>
    <w:p>
      <w:pPr>
        <w:pStyle w:val="ListParagraph"/>
        <w:numPr>
          <w:ilvl w:val="false"/>
          <w:numId w:val="{bullets-0}"/>
        </w:numPr>
      </w:pPr>
      <w:r>
        <w:rPr>
          <w:rFonts w:ascii="Arial" w:cs="Arial" w:eastAsia="Arial" w:hAnsi="Arial"/>
          <w:sz w:val="24"/>
          <w:szCs w:val="24"/>
        </w:rPr>
        <w:t xml:space="preserve">0.85–0.90: Regulated registries (SEC EDGAR, CISA, EPA, OSHA, UK Companies House)</w:t>
      </w:r>
    </w:p>
    <w:p>
      <w:pPr>
        <w:pStyle w:val="ListParagraph"/>
        <w:numPr>
          <w:ilvl w:val="false"/>
          <w:numId w:val="{bullets-0}"/>
        </w:numPr>
      </w:pPr>
      <w:r>
        <w:rPr>
          <w:rFonts w:ascii="Arial" w:cs="Arial" w:eastAsia="Arial" w:hAnsi="Arial"/>
          <w:sz w:val="24"/>
          <w:szCs w:val="24"/>
        </w:rPr>
        <w:t xml:space="preserve">0.70–0.80: Commercial/curated sources (OpenCorporates, CourtListener, WorldBank)</w:t>
      </w:r>
    </w:p>
    <w:p>
      <w:pPr>
        <w:pStyle w:val="ListParagraph"/>
        <w:numPr>
          <w:ilvl w:val="false"/>
          <w:numId w:val="{bullets-0}"/>
        </w:numPr>
      </w:pPr>
      <w:r>
        <w:rPr>
          <w:rFonts w:ascii="Arial" w:cs="Arial" w:eastAsia="Arial" w:hAnsi="Arial"/>
          <w:sz w:val="24"/>
          <w:szCs w:val="24"/>
        </w:rPr>
        <w:t xml:space="preserve">0.45–0.60: Media/crowdsourced (Google News, Wikidata)</w:t>
      </w:r>
    </w:p>
    <w:p>
      <w:pPr>
        <w:spacing w:after="0" w:before="120"/>
      </w:pPr>
      <w:r>
        <w:t xml:space="preserve"/>
      </w:r>
    </w:p>
    <w:p>
      <w:pPr>
        <w:spacing w:line="36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Reliability weights modulate Wilson confidence intervals and gate triggering. Signals from sources below 0.80 reliability cannot autonomously trigger hard stops (downgraded to ownership risk increase).</w:t>
      </w:r>
    </w:p>
    <w:p>
      <w:pPr>
        <w:spacing w:after="0" w:before="240"/>
      </w:pPr>
      <w:r>
        <w:t xml:space="preserve"/>
      </w:r>
    </w:p>
    <w:p>
      <w:pPr>
        <w:pStyle w:val="Heading2"/>
        <w:spacing w:after="120" w:before="180"/>
      </w:pPr>
      <w:r>
        <w:rPr>
          <w:rFonts w:ascii="Arial" w:cs="Arial" w:eastAsia="Arial" w:hAnsi="Arial"/>
          <w:b/>
          <w:bCs/>
          <w:color w:val="C4A052"/>
          <w:sz w:val="28"/>
          <w:szCs w:val="28"/>
        </w:rPr>
        <w:t xml:space="preserve">4.3 Data Provenance Tracking</w:t>
      </w:r>
    </w:p>
    <w:p>
      <w:pPr>
        <w:spacing w:line="36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Every scoring factor is tagged with its contributing OSINT sources:</w:t>
      </w:r>
    </w:p>
    <w:p>
      <w:pPr>
        <w:spacing w:after="0" w:before="80"/>
      </w:pPr>
      <w:r>
        <w:t xml:space="preserve"/>
      </w:r>
    </w:p>
    <w:p>
      <w:pPr>
        <w:pStyle w:val="ListParagraph"/>
        <w:numPr>
          <w:ilvl w:val="false"/>
          <w:numId w:val="{bullets-0}"/>
        </w:numPr>
      </w:pPr>
      <w:r>
        <w:rPr>
          <w:rFonts w:ascii="Arial" w:cs="Arial" w:eastAsia="Arial" w:hAnsi="Arial"/>
          <w:sz w:val="24"/>
          <w:szCs w:val="24"/>
        </w:rPr>
        <w:t xml:space="preserve">provenance[factor] = [{source, detail, reliability}, ...]</w:t>
      </w:r>
    </w:p>
    <w:p>
      <w:pPr>
        <w:pStyle w:val="ListParagraph"/>
        <w:numPr>
          <w:ilvl w:val="false"/>
          <w:numId w:val="{bullets-0}"/>
        </w:numPr>
      </w:pPr>
      <w:r>
        <w:rPr>
          <w:rFonts w:ascii="Arial" w:cs="Arial" w:eastAsia="Arial" w:hAnsi="Arial"/>
          <w:sz w:val="24"/>
          <w:szCs w:val="24"/>
        </w:rPr>
        <w:t xml:space="preserve">Enables traceability: auditors can see why a score changed</w:t>
      </w:r>
    </w:p>
    <w:p>
      <w:pPr>
        <w:pStyle w:val="ListParagraph"/>
        <w:numPr>
          <w:ilvl w:val="false"/>
          <w:numId w:val="{bullets-0}"/>
        </w:numPr>
      </w:pPr>
      <w:r>
        <w:rPr>
          <w:rFonts w:ascii="Arial" w:cs="Arial" w:eastAsia="Arial" w:hAnsi="Arial"/>
          <w:sz w:val="24"/>
          <w:szCs w:val="24"/>
        </w:rPr>
        <w:t xml:space="preserve">Critical for compliance: regulatory submissions require source documentation</w:t>
      </w:r>
    </w:p>
    <w:p>
      <w:r>
        <w:br w:type="page"/>
      </w:r>
    </w:p>
    <w:p>
      <w:pPr>
        <w:pStyle w:val="Heading1"/>
        <w:spacing w:after="240" w:before="240"/>
      </w:pPr>
      <w:r>
        <w:rPr>
          <w:rFonts w:ascii="Arial" w:cs="Arial" w:eastAsia="Arial" w:hAnsi="Arial"/>
          <w:b/>
          <w:bCs/>
          <w:color w:val="C4A052"/>
          <w:sz w:val="32"/>
          <w:szCs w:val="32"/>
        </w:rPr>
        <w:t xml:space="preserve">5. Entity Resolution</w:t>
      </w:r>
    </w:p>
    <w:p>
      <w:pPr>
        <w:spacing w:line="36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Entity Resolution converts user-typed vendor names into canonical entities with discovered identifiers (CIK, LEI, UEI, CAGE, etc.). It queries 5 sources in parallel.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180"/>
      </w:pPr>
      <w:r>
        <w:rPr>
          <w:rFonts w:ascii="Arial" w:cs="Arial" w:eastAsia="Arial" w:hAnsi="Arial"/>
          <w:b/>
          <w:bCs/>
          <w:color w:val="C4A052"/>
          <w:sz w:val="28"/>
          <w:szCs w:val="28"/>
        </w:rPr>
        <w:t xml:space="preserve">5.1 The 5-Source Search</w:t>
      </w:r>
    </w:p>
    <w:p>
      <w:pPr>
        <w:spacing w:after="0" w:before="80"/>
      </w:pPr>
      <w:r>
        <w:t xml:space="preserve"/>
      </w:r>
    </w:p>
    <w:p>
      <w:pPr>
        <w:pStyle w:val="Heading3"/>
        <w:spacing w:after="8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SEC EDGAR</w:t>
      </w:r>
    </w:p>
    <w:p>
      <w:pPr>
        <w:pStyle w:val="ListParagraph"/>
        <w:numPr>
          <w:ilvl w:val="false"/>
          <w:numId w:val="{bullets-0}"/>
        </w:numPr>
      </w:pPr>
      <w:r>
        <w:rPr>
          <w:rFonts w:ascii="Arial" w:cs="Arial" w:eastAsia="Arial" w:hAnsi="Arial"/>
          <w:sz w:val="24"/>
          <w:szCs w:val="24"/>
        </w:rPr>
        <w:t xml:space="preserve">Source: SEC company tickers (cached locally, 24h TTL)</w:t>
      </w:r>
    </w:p>
    <w:p>
      <w:pPr>
        <w:pStyle w:val="ListParagraph"/>
        <w:numPr>
          <w:ilvl w:val="false"/>
          <w:numId w:val="{bullets-0}"/>
        </w:numPr>
      </w:pPr>
      <w:r>
        <w:rPr>
          <w:rFonts w:ascii="Arial" w:cs="Arial" w:eastAsia="Arial" w:hAnsi="Arial"/>
          <w:sz w:val="24"/>
          <w:szCs w:val="24"/>
        </w:rPr>
        <w:t xml:space="preserve">Matches: Public companies (CIK, ticker)</w:t>
      </w:r>
    </w:p>
    <w:p>
      <w:pPr>
        <w:pStyle w:val="ListParagraph"/>
        <w:numPr>
          <w:ilvl w:val="false"/>
          <w:numId w:val="{bullets-0}"/>
        </w:numPr>
      </w:pPr>
      <w:r>
        <w:rPr>
          <w:rFonts w:ascii="Arial" w:cs="Arial" w:eastAsia="Arial" w:hAnsi="Arial"/>
          <w:sz w:val="24"/>
          <w:szCs w:val="24"/>
        </w:rPr>
        <w:t xml:space="preserve">Method: Suffix-aware word matching against SEC Legal Name</w:t>
      </w:r>
    </w:p>
    <w:p>
      <w:pPr>
        <w:spacing w:after="0" w:before="120"/>
      </w:pPr>
      <w:r>
        <w:t xml:space="preserve"/>
      </w:r>
    </w:p>
    <w:p>
      <w:pPr>
        <w:pStyle w:val="Heading3"/>
        <w:spacing w:after="8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GLEIF</w:t>
      </w:r>
    </w:p>
    <w:p>
      <w:pPr>
        <w:pStyle w:val="ListParagraph"/>
        <w:numPr>
          <w:ilvl w:val="false"/>
          <w:numId w:val="{bullets-0}"/>
        </w:numPr>
      </w:pPr>
      <w:r>
        <w:rPr>
          <w:rFonts w:ascii="Arial" w:cs="Arial" w:eastAsia="Arial" w:hAnsi="Arial"/>
          <w:sz w:val="24"/>
          <w:szCs w:val="24"/>
        </w:rPr>
        <w:t xml:space="preserve">Source: Legal Entity Identifiers (LEI) database</w:t>
      </w:r>
    </w:p>
    <w:p>
      <w:pPr>
        <w:pStyle w:val="ListParagraph"/>
        <w:numPr>
          <w:ilvl w:val="false"/>
          <w:numId w:val="{bullets-0}"/>
        </w:numPr>
      </w:pPr>
      <w:r>
        <w:rPr>
          <w:rFonts w:ascii="Arial" w:cs="Arial" w:eastAsia="Arial" w:hAnsi="Arial"/>
          <w:sz w:val="24"/>
          <w:szCs w:val="24"/>
        </w:rPr>
        <w:t xml:space="preserve">Matches: Any registered legal entity (LEI, country, status)</w:t>
      </w:r>
    </w:p>
    <w:p>
      <w:pPr>
        <w:pStyle w:val="ListParagraph"/>
        <w:numPr>
          <w:ilvl w:val="false"/>
          <w:numId w:val="{bullets-0}"/>
        </w:numPr>
      </w:pPr>
      <w:r>
        <w:rPr>
          <w:rFonts w:ascii="Arial" w:cs="Arial" w:eastAsia="Arial" w:hAnsi="Arial"/>
          <w:sz w:val="24"/>
          <w:szCs w:val="24"/>
        </w:rPr>
        <w:t xml:space="preserve">Method: Full-text API search</w:t>
      </w:r>
    </w:p>
    <w:p>
      <w:pPr>
        <w:spacing w:after="0" w:before="120"/>
      </w:pPr>
      <w:r>
        <w:t xml:space="preserve"/>
      </w:r>
    </w:p>
    <w:p>
      <w:pPr>
        <w:pStyle w:val="Heading3"/>
        <w:spacing w:after="8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OpenCorporates</w:t>
      </w:r>
    </w:p>
    <w:p>
      <w:pPr>
        <w:pStyle w:val="ListParagraph"/>
        <w:numPr>
          <w:ilvl w:val="false"/>
          <w:numId w:val="{bullets-0}"/>
        </w:numPr>
      </w:pPr>
      <w:r>
        <w:rPr>
          <w:rFonts w:ascii="Arial" w:cs="Arial" w:eastAsia="Arial" w:hAnsi="Arial"/>
          <w:sz w:val="24"/>
          <w:szCs w:val="24"/>
        </w:rPr>
        <w:t xml:space="preserve">Source: Global corporate registry (200M+ entities)</w:t>
      </w:r>
    </w:p>
    <w:p>
      <w:pPr>
        <w:pStyle w:val="ListParagraph"/>
        <w:numPr>
          <w:ilvl w:val="false"/>
          <w:numId w:val="{bullets-0}"/>
        </w:numPr>
      </w:pPr>
      <w:r>
        <w:rPr>
          <w:rFonts w:ascii="Arial" w:cs="Arial" w:eastAsia="Arial" w:hAnsi="Arial"/>
          <w:sz w:val="24"/>
          <w:szCs w:val="24"/>
        </w:rPr>
        <w:t xml:space="preserve">Matches: Companies, LLCs, private entities worldwide</w:t>
      </w:r>
    </w:p>
    <w:p>
      <w:pPr>
        <w:pStyle w:val="ListParagraph"/>
        <w:numPr>
          <w:ilvl w:val="false"/>
          <w:numId w:val="{bullets-0}"/>
        </w:numPr>
      </w:pPr>
      <w:r>
        <w:rPr>
          <w:rFonts w:ascii="Arial" w:cs="Arial" w:eastAsia="Arial" w:hAnsi="Arial"/>
          <w:sz w:val="24"/>
          <w:szCs w:val="24"/>
        </w:rPr>
        <w:t xml:space="preserve">Method: Full-text search with jurisdiction + status</w:t>
      </w:r>
    </w:p>
    <w:p>
      <w:pPr>
        <w:spacing w:after="0" w:before="120"/>
      </w:pPr>
      <w:r>
        <w:t xml:space="preserve"/>
      </w:r>
    </w:p>
    <w:p>
      <w:pPr>
        <w:pStyle w:val="Heading3"/>
        <w:spacing w:after="8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Wikidata</w:t>
      </w:r>
    </w:p>
    <w:p>
      <w:pPr>
        <w:pStyle w:val="ListParagraph"/>
        <w:numPr>
          <w:ilvl w:val="false"/>
          <w:numId w:val="{bullets-0}"/>
        </w:numPr>
      </w:pPr>
      <w:r>
        <w:rPr>
          <w:rFonts w:ascii="Arial" w:cs="Arial" w:eastAsia="Arial" w:hAnsi="Arial"/>
          <w:sz w:val="24"/>
          <w:szCs w:val="24"/>
        </w:rPr>
        <w:t xml:space="preserve">Source: Community-curated entity database</w:t>
      </w:r>
    </w:p>
    <w:p>
      <w:pPr>
        <w:pStyle w:val="ListParagraph"/>
        <w:numPr>
          <w:ilvl w:val="false"/>
          <w:numId w:val="{bullets-0}"/>
        </w:numPr>
      </w:pPr>
      <w:r>
        <w:rPr>
          <w:rFonts w:ascii="Arial" w:cs="Arial" w:eastAsia="Arial" w:hAnsi="Arial"/>
          <w:sz w:val="24"/>
          <w:szCs w:val="24"/>
        </w:rPr>
        <w:t xml:space="preserve">Matches: Notable organizations, companies, agencies</w:t>
      </w:r>
    </w:p>
    <w:p>
      <w:pPr>
        <w:pStyle w:val="ListParagraph"/>
        <w:numPr>
          <w:ilvl w:val="false"/>
          <w:numId w:val="{bullets-0}"/>
        </w:numPr>
      </w:pPr>
      <w:r>
        <w:rPr>
          <w:rFonts w:ascii="Arial" w:cs="Arial" w:eastAsia="Arial" w:hAnsi="Arial"/>
          <w:sz w:val="24"/>
          <w:szCs w:val="24"/>
        </w:rPr>
        <w:t xml:space="preserve">Method: Entity search (lower confidence)</w:t>
      </w:r>
    </w:p>
    <w:p>
      <w:pPr>
        <w:spacing w:after="0" w:before="120"/>
      </w:pPr>
      <w:r>
        <w:t xml:space="preserve"/>
      </w:r>
    </w:p>
    <w:p>
      <w:pPr>
        <w:pStyle w:val="Heading3"/>
        <w:spacing w:after="8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SAM.gov</w:t>
      </w:r>
    </w:p>
    <w:p>
      <w:pPr>
        <w:pStyle w:val="ListParagraph"/>
        <w:numPr>
          <w:ilvl w:val="false"/>
          <w:numId w:val="{bullets-0}"/>
        </w:numPr>
      </w:pPr>
      <w:r>
        <w:rPr>
          <w:rFonts w:ascii="Arial" w:cs="Arial" w:eastAsia="Arial" w:hAnsi="Arial"/>
          <w:sz w:val="24"/>
          <w:szCs w:val="24"/>
        </w:rPr>
        <w:t xml:space="preserve">Source: System for Award Management (requires API key)</w:t>
      </w:r>
    </w:p>
    <w:p>
      <w:pPr>
        <w:pStyle w:val="ListParagraph"/>
        <w:numPr>
          <w:ilvl w:val="false"/>
          <w:numId w:val="{bullets-0}"/>
        </w:numPr>
      </w:pPr>
      <w:r>
        <w:rPr>
          <w:rFonts w:ascii="Arial" w:cs="Arial" w:eastAsia="Arial" w:hAnsi="Arial"/>
          <w:sz w:val="24"/>
          <w:szCs w:val="24"/>
        </w:rPr>
        <w:t xml:space="preserve">Matches: Federal contractors, entities with CAGE/UEI</w:t>
      </w:r>
    </w:p>
    <w:p>
      <w:pPr>
        <w:pStyle w:val="ListParagraph"/>
        <w:numPr>
          <w:ilvl w:val="false"/>
          <w:numId w:val="{bullets-0}"/>
        </w:numPr>
      </w:pPr>
      <w:r>
        <w:rPr>
          <w:rFonts w:ascii="Arial" w:cs="Arial" w:eastAsia="Arial" w:hAnsi="Arial"/>
          <w:sz w:val="24"/>
          <w:szCs w:val="24"/>
        </w:rPr>
        <w:t xml:space="preserve">Returns: CAGE, UEI, NAICS, ownership chain, SBA certs, CMMC status, integrity data</w:t>
      </w:r>
    </w:p>
    <w:p>
      <w:pPr>
        <w:spacing w:after="0" w:before="240"/>
      </w:pPr>
      <w:r>
        <w:t xml:space="preserve"/>
      </w:r>
    </w:p>
    <w:p>
      <w:pPr>
        <w:pStyle w:val="Heading2"/>
        <w:spacing w:after="120" w:before="180"/>
      </w:pPr>
      <w:r>
        <w:rPr>
          <w:rFonts w:ascii="Arial" w:cs="Arial" w:eastAsia="Arial" w:hAnsi="Arial"/>
          <w:b/>
          <w:bCs/>
          <w:color w:val="C4A052"/>
          <w:sz w:val="28"/>
          <w:szCs w:val="28"/>
        </w:rPr>
        <w:t xml:space="preserve">5.2 Entity Suffix Stripping</w:t>
      </w:r>
    </w:p>
    <w:p>
      <w:pPr>
        <w:spacing w:line="36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Search words are normalized by removing legal structure designators (LLC, Inc, Ltd, Corp, Group, Holdings, etc.). This improves recall across registries that handle suffixes differently.</w:t>
      </w:r>
    </w:p>
    <w:p>
      <w:pPr>
        <w:spacing w:after="0" w:before="80"/>
      </w:pPr>
      <w:r>
        <w:t xml:space="preserve"/>
      </w:r>
    </w:p>
    <w:p>
      <w:pPr>
        <w:pStyle w:val="ListParagraph"/>
        <w:numPr>
          <w:ilvl w:val="false"/>
          <w:numId w:val="{bullets-0}"/>
        </w:numPr>
      </w:pPr>
      <w:r>
        <w:rPr>
          <w:rFonts w:ascii="Arial" w:cs="Arial" w:eastAsia="Arial" w:hAnsi="Arial"/>
          <w:sz w:val="24"/>
          <w:szCs w:val="24"/>
        </w:rPr>
        <w:t xml:space="preserve">Input: "Apple Inc."</w:t>
      </w:r>
    </w:p>
    <w:p>
      <w:pPr>
        <w:pStyle w:val="ListParagraph"/>
        <w:numPr>
          <w:ilvl w:val="false"/>
          <w:numId w:val="{bullets-0}"/>
        </w:numPr>
      </w:pPr>
      <w:r>
        <w:rPr>
          <w:rFonts w:ascii="Arial" w:cs="Arial" w:eastAsia="Arial" w:hAnsi="Arial"/>
          <w:sz w:val="24"/>
          <w:szCs w:val="24"/>
        </w:rPr>
        <w:t xml:space="preserve">Stripped: ["apple"]</w:t>
      </w:r>
    </w:p>
    <w:p>
      <w:pPr>
        <w:pStyle w:val="ListParagraph"/>
        <w:numPr>
          <w:ilvl w:val="false"/>
          <w:numId w:val="{bullets-0}"/>
        </w:numPr>
      </w:pPr>
      <w:r>
        <w:rPr>
          <w:rFonts w:ascii="Arial" w:cs="Arial" w:eastAsia="Arial" w:hAnsi="Arial"/>
          <w:sz w:val="24"/>
          <w:szCs w:val="24"/>
        </w:rPr>
        <w:t xml:space="preserve">Searches both original name and stripped core name</w:t>
      </w:r>
    </w:p>
    <w:p>
      <w:pPr>
        <w:spacing w:after="0" w:before="240"/>
      </w:pPr>
      <w:r>
        <w:t xml:space="preserve"/>
      </w:r>
    </w:p>
    <w:p>
      <w:pPr>
        <w:pStyle w:val="Heading2"/>
        <w:spacing w:after="120" w:before="180"/>
      </w:pPr>
      <w:r>
        <w:rPr>
          <w:rFonts w:ascii="Arial" w:cs="Arial" w:eastAsia="Arial" w:hAnsi="Arial"/>
          <w:b/>
          <w:bCs/>
          <w:color w:val="C4A052"/>
          <w:sz w:val="28"/>
          <w:szCs w:val="28"/>
        </w:rPr>
        <w:t xml:space="preserve">5.3 Deduplication &amp; Merging</w:t>
      </w:r>
    </w:p>
    <w:p>
      <w:pPr>
        <w:spacing w:line="36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Results from all 5 sources are merged by legal name (case-insensitive). Duplicate entities get merged identifiers and confidence boost (+10%) for multi-source matches.</w:t>
      </w:r>
    </w:p>
    <w:p>
      <w:pPr>
        <w:spacing w:after="0" w:before="80"/>
      </w:pPr>
      <w:r>
        <w:t xml:space="preserve"/>
      </w:r>
    </w:p>
    <w:p>
      <w:pPr>
        <w:pStyle w:val="ListParagraph"/>
        <w:numPr>
          <w:ilvl w:val="false"/>
          <w:numId w:val="{bullets-0}"/>
        </w:numPr>
      </w:pPr>
      <w:r>
        <w:rPr>
          <w:rFonts w:ascii="Arial" w:cs="Arial" w:eastAsia="Arial" w:hAnsi="Arial"/>
          <w:sz w:val="24"/>
          <w:szCs w:val="24"/>
        </w:rPr>
        <w:t xml:space="preserve">Max 12 candidates returned, sorted by confidence</w:t>
      </w:r>
    </w:p>
    <w:p>
      <w:pPr>
        <w:pStyle w:val="ListParagraph"/>
        <w:numPr>
          <w:ilvl w:val="false"/>
          <w:numId w:val="{bullets-0}"/>
        </w:numPr>
      </w:pPr>
      <w:r>
        <w:rPr>
          <w:rFonts w:ascii="Arial" w:cs="Arial" w:eastAsia="Arial" w:hAnsi="Arial"/>
          <w:sz w:val="24"/>
          <w:szCs w:val="24"/>
        </w:rPr>
        <w:t xml:space="preserve">Noise entities (pension trusts, funding vehicles, dissolved companies) filtered out</w:t>
      </w:r>
    </w:p>
    <w:p>
      <w:pPr>
        <w:spacing w:after="0" w:before="240"/>
      </w:pPr>
      <w:r>
        <w:t xml:space="preserve"/>
      </w:r>
    </w:p>
    <w:p>
      <w:pPr>
        <w:pStyle w:val="Heading2"/>
        <w:spacing w:after="120" w:before="180"/>
      </w:pPr>
      <w:r>
        <w:rPr>
          <w:rFonts w:ascii="Arial" w:cs="Arial" w:eastAsia="Arial" w:hAnsi="Arial"/>
          <w:b/>
          <w:bCs/>
          <w:color w:val="C4A052"/>
          <w:sz w:val="28"/>
          <w:szCs w:val="28"/>
        </w:rPr>
        <w:t xml:space="preserve">5.4 SAM.gov Expanded Sections</w:t>
      </w:r>
    </w:p>
    <w:p>
      <w:pPr>
        <w:spacing w:line="36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SAM.gov API returns comprehensive entity data in 4 sections:</w:t>
      </w:r>
    </w:p>
    <w:p>
      <w:pPr>
        <w:spacing w:after="0" w:before="80"/>
      </w:pPr>
      <w:r>
        <w:t xml:space="preserve"/>
      </w:r>
    </w:p>
    <w:p>
      <w:pPr>
        <w:pStyle w:val="ListParagraph"/>
        <w:numPr>
          <w:ilvl w:val="false"/>
          <w:numId w:val="{bullets-0}"/>
        </w:numPr>
      </w:pPr>
      <w:r>
        <w:rPr>
          <w:rFonts w:ascii="Arial" w:cs="Arial" w:eastAsia="Arial" w:hAnsi="Arial"/>
          <w:sz w:val="24"/>
          <w:szCs w:val="24"/>
        </w:rPr>
        <w:t xml:space="preserve">entityRegistration: Legal name, UEI, CAGE, DUNS, registration status, expiry</w:t>
      </w:r>
    </w:p>
    <w:p>
      <w:pPr>
        <w:pStyle w:val="ListParagraph"/>
        <w:numPr>
          <w:ilvl w:val="false"/>
          <w:numId w:val="{bullets-0}"/>
        </w:numPr>
      </w:pPr>
      <w:r>
        <w:rPr>
          <w:rFonts w:ascii="Arial" w:cs="Arial" w:eastAsia="Arial" w:hAnsi="Arial"/>
          <w:sz w:val="24"/>
          <w:szCs w:val="24"/>
        </w:rPr>
        <w:t xml:space="preserve">coreData: Physical address, NAICS codes, SBA certifications, business types</w:t>
      </w:r>
    </w:p>
    <w:p>
      <w:pPr>
        <w:pStyle w:val="ListParagraph"/>
        <w:numPr>
          <w:ilvl w:val="false"/>
          <w:numId w:val="{bullets-0}"/>
        </w:numPr>
      </w:pPr>
      <w:r>
        <w:rPr>
          <w:rFonts w:ascii="Arial" w:cs="Arial" w:eastAsia="Arial" w:hAnsi="Arial"/>
          <w:sz w:val="24"/>
          <w:szCs w:val="24"/>
        </w:rPr>
        <w:t xml:space="preserve">assertions: Product/Service Codes (PSC) for contract vehicle classification</w:t>
      </w:r>
    </w:p>
    <w:p>
      <w:pPr>
        <w:pStyle w:val="ListParagraph"/>
        <w:numPr>
          <w:ilvl w:val="false"/>
          <w:numId w:val="{bullets-0}"/>
        </w:numPr>
      </w:pPr>
      <w:r>
        <w:rPr>
          <w:rFonts w:ascii="Arial" w:cs="Arial" w:eastAsia="Arial" w:hAnsi="Arial"/>
          <w:sz w:val="24"/>
          <w:szCs w:val="24"/>
        </w:rPr>
        <w:t xml:space="preserve">integrityInformation: Corporate ownership chain (highest owner, immediate owner, predecessors), legal proceedings</w:t>
      </w:r>
    </w:p>
    <w:p>
      <w:pPr>
        <w:spacing w:after="0" w:before="240"/>
      </w:pPr>
      <w:r>
        <w:t xml:space="preserve"/>
      </w:r>
    </w:p>
    <w:p>
      <w:pPr>
        <w:pStyle w:val="Heading2"/>
        <w:spacing w:after="120" w:before="180"/>
      </w:pPr>
      <w:r>
        <w:rPr>
          <w:rFonts w:ascii="Arial" w:cs="Arial" w:eastAsia="Arial" w:hAnsi="Arial"/>
          <w:b/>
          <w:bCs/>
          <w:color w:val="C4A052"/>
          <w:sz w:val="28"/>
          <w:szCs w:val="28"/>
        </w:rPr>
        <w:t xml:space="preserve">5.5 Corporate Ownership Chain Resolution</w:t>
      </w:r>
    </w:p>
    <w:p>
      <w:pPr>
        <w:spacing w:line="36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SAM.gov integrity data includes parent company information critical for FOCI/ownership scoring:</w:t>
      </w:r>
    </w:p>
    <w:p>
      <w:pPr>
        <w:spacing w:after="0" w:before="80"/>
      </w:pPr>
      <w:r>
        <w:t xml:space="preserve"/>
      </w:r>
    </w:p>
    <w:p>
      <w:pPr>
        <w:pStyle w:val="ListParagraph"/>
        <w:numPr>
          <w:ilvl w:val="false"/>
          <w:numId w:val="{bullets-0}"/>
        </w:numPr>
      </w:pPr>
      <w:r>
        <w:rPr>
          <w:rFonts w:ascii="Arial" w:cs="Arial" w:eastAsia="Arial" w:hAnsi="Arial"/>
          <w:sz w:val="24"/>
          <w:szCs w:val="24"/>
        </w:rPr>
        <w:t xml:space="preserve">Highest Owner: Ultimate parent company (may be foreign)</w:t>
      </w:r>
    </w:p>
    <w:p>
      <w:pPr>
        <w:pStyle w:val="ListParagraph"/>
        <w:numPr>
          <w:ilvl w:val="false"/>
          <w:numId w:val="{bullets-0}"/>
        </w:numPr>
      </w:pPr>
      <w:r>
        <w:rPr>
          <w:rFonts w:ascii="Arial" w:cs="Arial" w:eastAsia="Arial" w:hAnsi="Arial"/>
          <w:sz w:val="24"/>
          <w:szCs w:val="24"/>
        </w:rPr>
        <w:t xml:space="preserve">Immediate Owner: Direct parent (may be intermediate holding company)</w:t>
      </w:r>
    </w:p>
    <w:p>
      <w:pPr>
        <w:pStyle w:val="ListParagraph"/>
        <w:numPr>
          <w:ilvl w:val="false"/>
          <w:numId w:val="{bullets-0}"/>
        </w:numPr>
      </w:pPr>
      <w:r>
        <w:rPr>
          <w:rFonts w:ascii="Arial" w:cs="Arial" w:eastAsia="Arial" w:hAnsi="Arial"/>
          <w:sz w:val="24"/>
          <w:szCs w:val="24"/>
        </w:rPr>
        <w:t xml:space="preserve">Predecessors: Prior entities (mergers, name changes)</w:t>
      </w:r>
    </w:p>
    <w:p>
      <w:pPr>
        <w:pStyle w:val="ListParagraph"/>
        <w:numPr>
          <w:ilvl w:val="false"/>
          <w:numId w:val="{bullets-0}"/>
        </w:numPr>
      </w:pPr>
      <w:r>
        <w:rPr>
          <w:rFonts w:ascii="Arial" w:cs="Arial" w:eastAsia="Arial" w:hAnsi="Arial"/>
          <w:sz w:val="24"/>
          <w:szCs w:val="24"/>
        </w:rPr>
        <w:t xml:space="preserve">Each includes CAGE and country of incorporation for foreign ownership assessment</w:t>
      </w:r>
    </w:p>
    <w:p>
      <w:r>
        <w:br w:type="page"/>
      </w:r>
    </w:p>
    <w:p>
      <w:pPr>
        <w:pStyle w:val="Heading1"/>
        <w:spacing w:after="240" w:before="240"/>
      </w:pPr>
      <w:r>
        <w:rPr>
          <w:rFonts w:ascii="Arial" w:cs="Arial" w:eastAsia="Arial" w:hAnsi="Arial"/>
          <w:b/>
          <w:bCs/>
          <w:color w:val="C4A052"/>
          <w:sz w:val="32"/>
          <w:szCs w:val="32"/>
        </w:rPr>
        <w:t xml:space="preserve">6. Contract Vehicle Search</w:t>
      </w:r>
    </w:p>
    <w:p>
      <w:pPr>
        <w:spacing w:line="360"/>
      </w:pPr>
      <w:r>
        <w:t>Contract Vehicle Search enables rapid discovery of prime and subcontractor matches associated with a specific DoD/Federal contract vehicle (LEIA, TACS, SEWP, CIO-SP3, OASIS, etc.).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180"/>
      </w:pPr>
      <w:r>
        <w:rPr>
          <w:rFonts w:ascii="Arial" w:cs="Arial" w:eastAsia="Arial" w:hAnsi="Arial"/>
          <w:b/>
          <w:bCs/>
          <w:color w:val="C4A052"/>
          <w:sz w:val="28"/>
          <w:szCs w:val="28"/>
        </w:rPr>
        <w:t xml:space="preserve">6.1 Vehicle Aliases</w:t>
      </w:r>
    </w:p>
    <w:p>
      <w:pPr>
        <w:spacing w:line="36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Common contract vehicles are mapped to aliases for keyword expansion: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C4A052" w:sz="2"/>
              <w:right w:val="single" w:color="E5E7EB" w:sz="1"/>
            </w:tcBorders>
            <w:shd w:fill="C4A05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a0e17"/>
                <w:sz w:val="24"/>
                <w:szCs w:val="24"/>
              </w:rPr>
              <w:t xml:space="preserve">Vehicle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C4A052" w:sz="2"/>
              <w:right w:val="single" w:color="E5E7EB" w:sz="1"/>
            </w:tcBorders>
            <w:shd w:fill="C4A05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a0e17"/>
                <w:sz w:val="24"/>
                <w:szCs w:val="24"/>
              </w:rPr>
              <w:t xml:space="preserve">Aliases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LEIA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Law Enforcement Innovation Alliance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TACS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Total Administrative and Compliance Services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SEWP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Solutions for Enterprise-Wide Procurement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OASIS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One Acquisition Solution for Integrated Services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CIO-SP3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Chief Information Officer Solutions and Partners 3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Alliant 2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GSA Schedule multi-vendor vehicle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8(a) STARS III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Small business program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MAS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GSA Multiple Award Schedule</w:t>
            </w:r>
          </w:p>
        </w:tc>
      </w:tr>
    </w:tbl>
    <w:p>
      <w:pPr>
        <w:spacing w:after="0" w:before="240"/>
      </w:pPr>
      <w:r>
        <w:t xml:space="preserve"/>
      </w:r>
    </w:p>
    <w:p>
      <w:pPr>
        <w:pStyle w:val="Heading2"/>
        <w:spacing w:after="120" w:before="180"/>
      </w:pPr>
      <w:r>
        <w:rPr>
          <w:rFonts w:ascii="Arial" w:cs="Arial" w:eastAsia="Arial" w:hAnsi="Arial"/>
          <w:b/>
          <w:bCs/>
          <w:color w:val="C4A052"/>
          <w:sz w:val="28"/>
          <w:szCs w:val="28"/>
        </w:rPr>
        <w:t xml:space="preserve">6.2 Search API</w:t>
      </w:r>
    </w:p>
    <w:p>
      <w:pPr>
        <w:spacing w:line="36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Uses USAspending.gov API v2 (free, no auth required):</w:t>
      </w:r>
    </w:p>
    <w:p>
      <w:pPr>
        <w:spacing w:after="0" w:before="80"/>
      </w:pPr>
      <w:r>
        <w:t xml:space="preserve"/>
      </w:r>
    </w:p>
    <w:p>
      <w:pPr>
        <w:pStyle w:val="ListParagraph"/>
        <w:numPr>
          <w:ilvl w:val="false"/>
          <w:numId w:val="{bullets-0}"/>
        </w:numPr>
      </w:pPr>
      <w:r>
        <w:rPr>
          <w:rFonts w:ascii="Arial" w:cs="Arial" w:eastAsia="Arial" w:hAnsi="Arial"/>
          <w:sz w:val="24"/>
          <w:szCs w:val="24"/>
        </w:rPr>
        <w:t xml:space="preserve">POST /api/v2/search/spending_by_award/</w:t>
      </w:r>
    </w:p>
    <w:p>
      <w:pPr>
        <w:pStyle w:val="ListParagraph"/>
        <w:numPr>
          <w:ilvl w:val="false"/>
          <w:numId w:val="{bullets-0}"/>
        </w:numPr>
      </w:pPr>
      <w:r>
        <w:t>Prime awards: Searches contract vehicles by keyword and alias expansion, then returns award recipients + amounts for the strongest matches</w:t>
      </w:r>
    </w:p>
    <w:p>
      <w:pPr>
        <w:pStyle w:val="ListParagraph"/>
        <w:numPr>
          <w:ilvl w:val="false"/>
          <w:numId w:val="{bullets-0}"/>
        </w:numPr>
      </w:pPr>
      <w:r>
        <w:t>Subawards: Same search with subawards=true, returning subcontractor matches tied to the searched vehicle terms</w:t>
      </w:r>
    </w:p>
    <w:p>
      <w:pPr>
        <w:spacing w:after="0" w:before="240"/>
      </w:pPr>
      <w:r>
        <w:t xml:space="preserve"/>
      </w:r>
    </w:p>
    <w:p>
      <w:pPr>
        <w:pStyle w:val="Heading2"/>
        <w:spacing w:after="120" w:before="180"/>
      </w:pPr>
      <w:r>
        <w:rPr>
          <w:rFonts w:ascii="Arial" w:cs="Arial" w:eastAsia="Arial" w:hAnsi="Arial"/>
          <w:b/>
          <w:bCs/>
          <w:color w:val="C4A052"/>
          <w:sz w:val="28"/>
          <w:szCs w:val="28"/>
        </w:rPr>
        <w:t xml:space="preserve">6.3 Output Format</w:t>
      </w:r>
    </w:p>
    <w:p>
      <w:pPr>
        <w:spacing w:line="36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Returns deduplicated vendor list with role (prime/subcontractor/both):</w:t>
      </w:r>
    </w:p>
    <w:p>
      <w:pPr>
        <w:spacing w:after="0" w:before="80"/>
      </w:pPr>
      <w:r>
        <w:t xml:space="preserve"/>
      </w:r>
    </w:p>
    <w:p>
      <w:pPr>
        <w:pStyle w:val="ListParagraph"/>
        <w:numPr>
          <w:ilvl w:val="false"/>
          <w:numId w:val="{bullets-0}"/>
        </w:numPr>
      </w:pPr>
      <w:r>
        <w:rPr>
          <w:rFonts w:ascii="Arial" w:cs="Arial" w:eastAsia="Arial" w:hAnsi="Arial"/>
          <w:sz w:val="24"/>
          <w:szCs w:val="24"/>
        </w:rPr>
        <w:t xml:space="preserve">vendor_name, role, award_amount, uei, duns, state</w:t>
      </w:r>
    </w:p>
    <w:p>
      <w:pPr>
        <w:pStyle w:val="ListParagraph"/>
        <w:numPr>
          <w:ilvl w:val="false"/>
          <w:numId w:val="{bullets-0}"/>
        </w:numPr>
      </w:pPr>
      <w:r>
        <w:rPr>
          <w:rFonts w:ascii="Arial" w:cs="Arial" w:eastAsia="Arial" w:hAnsi="Arial"/>
          <w:sz w:val="24"/>
          <w:szCs w:val="24"/>
        </w:rPr>
        <w:t xml:space="preserve">Suitable for batch entity resolution and bulk assessment</w:t>
      </w:r>
    </w:p>
    <w:p>
      <w:pPr>
        <w:spacing w:after="0" w:before="240"/>
      </w:pPr>
      <w:r>
        <w:t xml:space="preserve"/>
      </w:r>
    </w:p>
    <w:p>
      <w:pPr>
        <w:pStyle w:val="Heading2"/>
        <w:spacing w:after="120" w:before="180"/>
      </w:pPr>
      <w:r>
        <w:rPr>
          <w:rFonts w:ascii="Arial" w:cs="Arial" w:eastAsia="Arial" w:hAnsi="Arial"/>
          <w:b/>
          <w:bCs/>
          <w:color w:val="C4A052"/>
          <w:sz w:val="28"/>
          <w:szCs w:val="28"/>
        </w:rPr>
        <w:t xml:space="preserve">6.4 Batch Assessment Workflow</w:t>
      </w:r>
    </w:p>
    <w:p>
      <w:pPr>
        <w:pStyle w:val="ListParagraph"/>
        <w:numPr>
          <w:ilvl w:val="false"/>
          <w:numId w:val="{bullets-0}"/>
        </w:numPr>
      </w:pPr>
      <w:r>
        <w:rPr>
          <w:rFonts w:ascii="Arial" w:cs="Arial" w:eastAsia="Arial" w:hAnsi="Arial"/>
          <w:sz w:val="24"/>
          <w:szCs w:val="24"/>
        </w:rPr>
        <w:t xml:space="preserve">Search contract vehicle (e.g., "OASIS")</w:t>
      </w:r>
    </w:p>
    <w:p>
      <w:pPr>
        <w:pStyle w:val="ListParagraph"/>
        <w:numPr>
          <w:ilvl w:val="false"/>
          <w:numId w:val="{bullets-0}"/>
        </w:numPr>
      </w:pPr>
      <w:r>
        <w:rPr>
          <w:rFonts w:ascii="Arial" w:cs="Arial" w:eastAsia="Arial" w:hAnsi="Arial"/>
          <w:sz w:val="24"/>
          <w:szCs w:val="24"/>
        </w:rPr>
        <w:t xml:space="preserve">Get 30–100+ unique vendors</w:t>
      </w:r>
    </w:p>
    <w:p>
      <w:pPr>
        <w:pStyle w:val="ListParagraph"/>
        <w:numPr>
          <w:ilvl w:val="false"/>
          <w:numId w:val="{bullets-0}"/>
        </w:numPr>
      </w:pPr>
      <w:r>
        <w:rPr>
          <w:rFonts w:ascii="Arial" w:cs="Arial" w:eastAsia="Arial" w:hAnsi="Arial"/>
          <w:sz w:val="24"/>
          <w:szCs w:val="24"/>
        </w:rPr>
        <w:t xml:space="preserve">Entity resolve each vendor in parallel</w:t>
      </w:r>
    </w:p>
    <w:p>
      <w:pPr>
        <w:pStyle w:val="ListParagraph"/>
        <w:numPr>
          <w:ilvl w:val="false"/>
          <w:numId w:val="{bullets-0}"/>
        </w:numPr>
      </w:pPr>
      <w:r>
        <w:rPr>
          <w:rFonts w:ascii="Arial" w:cs="Arial" w:eastAsia="Arial" w:hAnsi="Arial"/>
          <w:sz w:val="24"/>
          <w:szCs w:val="24"/>
        </w:rPr>
        <w:t xml:space="preserve">Score each resolved entity</w:t>
      </w:r>
    </w:p>
    <w:p>
      <w:pPr>
        <w:pStyle w:val="ListParagraph"/>
        <w:numPr>
          <w:ilvl w:val="false"/>
          <w:numId w:val="{bullets-0}"/>
        </w:numPr>
      </w:pPr>
      <w:r>
        <w:rPr>
          <w:rFonts w:ascii="Arial" w:cs="Arial" w:eastAsia="Arial" w:hAnsi="Arial"/>
          <w:sz w:val="24"/>
          <w:szCs w:val="24"/>
        </w:rPr>
        <w:t xml:space="preserve">Export results (CSV: vendor, confidence, score, tier, hard_stop)</w:t>
      </w:r>
    </w:p>
    <w:p>
      <w:r>
        <w:br w:type="page"/>
      </w:r>
    </w:p>
    <w:p>
      <w:pPr>
        <w:pStyle w:val="Heading1"/>
        <w:spacing w:after="240" w:before="240"/>
      </w:pPr>
      <w:r>
        <w:rPr>
          <w:rFonts w:ascii="Arial" w:cs="Arial" w:eastAsia="Arial" w:hAnsi="Arial"/>
          <w:b/>
          <w:bCs/>
          <w:color w:val="C4A052"/>
          <w:sz w:val="32"/>
          <w:szCs w:val="32"/>
        </w:rPr>
        <w:t xml:space="preserve">7. API Reference</w:t>
      </w:r>
    </w:p>
    <w:p>
      <w:pPr>
        <w:spacing w:line="36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All endpoints require JWT bearer token (except /api/auth/setup and /api/health). Base URL: http://localhost:5000 (or deployed domain).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180"/>
      </w:pPr>
      <w:r>
        <w:rPr>
          <w:rFonts w:ascii="Arial" w:cs="Arial" w:eastAsia="Arial" w:hAnsi="Arial"/>
          <w:b/>
          <w:bCs/>
          <w:color w:val="C4A052"/>
          <w:sz w:val="28"/>
          <w:szCs w:val="28"/>
        </w:rPr>
        <w:t xml:space="preserve">7.1 Authentication</w:t>
      </w:r>
    </w:p>
    <w:p>
      <w:pPr>
        <w:spacing w:after="0" w:before="80"/>
      </w:pPr>
      <w:r>
        <w:t xml:space="preserve"/>
      </w:r>
    </w:p>
    <w:p>
      <w:pPr>
        <w:pStyle w:val="Heading3"/>
        <w:spacing w:after="8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POST /api/auth/setup</w:t>
      </w:r>
    </w:p>
    <w:p>
      <w:pPr>
        <w:pStyle w:val="ListParagraph"/>
        <w:numPr>
          <w:ilvl w:val="false"/>
          <w:numId w:val="{bullets-0}"/>
        </w:numPr>
      </w:pPr>
      <w:r>
        <w:rPr>
          <w:rFonts w:ascii="Arial" w:cs="Arial" w:eastAsia="Arial" w:hAnsi="Arial"/>
          <w:sz w:val="24"/>
          <w:szCs w:val="24"/>
        </w:rPr>
        <w:t xml:space="preserve">Bootstrap admin user (one-time, requires request body with admin email/password)</w:t>
      </w:r>
    </w:p>
    <w:p>
      <w:pPr>
        <w:pStyle w:val="ListParagraph"/>
        <w:numPr>
          <w:ilvl w:val="false"/>
          <w:numId w:val="{bullets-0}"/>
        </w:numPr>
      </w:pPr>
      <w:r>
        <w:rPr>
          <w:rFonts w:ascii="Arial" w:cs="Arial" w:eastAsia="Arial" w:hAnsi="Arial"/>
          <w:sz w:val="24"/>
          <w:szCs w:val="24"/>
        </w:rPr>
        <w:t xml:space="preserve">Returns: admin JWT token</w:t>
      </w:r>
    </w:p>
    <w:p>
      <w:pPr>
        <w:spacing w:after="0" w:before="120"/>
      </w:pPr>
      <w:r>
        <w:t xml:space="preserve"/>
      </w:r>
    </w:p>
    <w:p>
      <w:pPr>
        <w:pStyle w:val="Heading3"/>
        <w:spacing w:after="8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POST /api/auth/login</w:t>
      </w:r>
    </w:p>
    <w:p>
      <w:pPr>
        <w:pStyle w:val="ListParagraph"/>
        <w:numPr>
          <w:ilvl w:val="false"/>
          <w:numId w:val="{bullets-0}"/>
        </w:numPr>
      </w:pPr>
      <w:r>
        <w:rPr>
          <w:rFonts w:ascii="Arial" w:cs="Arial" w:eastAsia="Arial" w:hAnsi="Arial"/>
          <w:sz w:val="24"/>
          <w:szCs w:val="24"/>
        </w:rPr>
        <w:t xml:space="preserve">Authenticate: {email, password}</w:t>
      </w:r>
    </w:p>
    <w:p>
      <w:pPr>
        <w:pStyle w:val="ListParagraph"/>
        <w:numPr>
          <w:ilvl w:val="false"/>
          <w:numId w:val="{bullets-0}"/>
        </w:numPr>
      </w:pPr>
      <w:r>
        <w:rPr>
          <w:rFonts w:ascii="Arial" w:cs="Arial" w:eastAsia="Arial" w:hAnsi="Arial"/>
          <w:sz w:val="24"/>
          <w:szCs w:val="24"/>
        </w:rPr>
        <w:t xml:space="preserve">Returns: {access_token, user}</w:t>
      </w:r>
    </w:p>
    <w:p>
      <w:pPr>
        <w:spacing w:after="0" w:before="120"/>
      </w:pPr>
      <w:r>
        <w:t xml:space="preserve"/>
      </w:r>
    </w:p>
    <w:p>
      <w:pPr>
        <w:pStyle w:val="Heading3"/>
        <w:spacing w:after="8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GET /api/auth/me</w:t>
      </w:r>
    </w:p>
    <w:p>
      <w:pPr>
        <w:pStyle w:val="ListParagraph"/>
        <w:numPr>
          <w:ilvl w:val="false"/>
          <w:numId w:val="{bullets-0}"/>
        </w:numPr>
      </w:pPr>
      <w:r>
        <w:rPr>
          <w:rFonts w:ascii="Arial" w:cs="Arial" w:eastAsia="Arial" w:hAnsi="Arial"/>
          <w:sz w:val="24"/>
          <w:szCs w:val="24"/>
        </w:rPr>
        <w:t xml:space="preserve">Current user info + permissions</w:t>
      </w:r>
    </w:p>
    <w:p>
      <w:pPr>
        <w:pStyle w:val="ListParagraph"/>
        <w:numPr>
          <w:ilvl w:val="false"/>
          <w:numId w:val="{bullets-0}"/>
        </w:numPr>
      </w:pPr>
      <w:r>
        <w:rPr>
          <w:rFonts w:ascii="Arial" w:cs="Arial" w:eastAsia="Arial" w:hAnsi="Arial"/>
          <w:sz w:val="24"/>
          <w:szCs w:val="24"/>
        </w:rPr>
        <w:t xml:space="preserve">Auth: Bearer token</w:t>
      </w:r>
    </w:p>
    <w:p>
      <w:pPr>
        <w:spacing w:after="0" w:before="240"/>
      </w:pPr>
      <w:r>
        <w:t xml:space="preserve"/>
      </w:r>
    </w:p>
    <w:p>
      <w:pPr>
        <w:pStyle w:val="Heading2"/>
        <w:spacing w:after="120" w:before="180"/>
      </w:pPr>
      <w:r>
        <w:rPr>
          <w:rFonts w:ascii="Arial" w:cs="Arial" w:eastAsia="Arial" w:hAnsi="Arial"/>
          <w:b/>
          <w:bCs/>
          <w:color w:val="C4A052"/>
          <w:sz w:val="28"/>
          <w:szCs w:val="28"/>
        </w:rPr>
        <w:t xml:space="preserve">7.2 Core Endpoints</w:t>
      </w:r>
    </w:p>
    <w:p>
      <w:pPr>
        <w:spacing w:after="0" w:before="80"/>
      </w:pPr>
      <w:r>
        <w:t xml:space="preserve"/>
      </w:r>
    </w:p>
    <w:p>
      <w:pPr>
        <w:pStyle w:val="Heading3"/>
        <w:spacing w:after="8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GET /api/health</w:t>
      </w:r>
    </w:p>
    <w:p>
      <w:pPr>
        <w:pStyle w:val="ListParagraph"/>
        <w:numPr>
          <w:ilvl w:val="false"/>
          <w:numId w:val="{bullets-0}"/>
        </w:numPr>
      </w:pPr>
      <w:r>
        <w:rPr>
          <w:rFonts w:ascii="Arial" w:cs="Arial" w:eastAsia="Arial" w:hAnsi="Arial"/>
          <w:sz w:val="24"/>
          <w:szCs w:val="24"/>
        </w:rPr>
        <w:t xml:space="preserve">Health check: {status, database, version}</w:t>
      </w:r>
    </w:p>
    <w:p>
      <w:pPr>
        <w:pStyle w:val="ListParagraph"/>
        <w:numPr>
          <w:ilvl w:val="false"/>
          <w:numId w:val="{bullets-0}"/>
        </w:numPr>
      </w:pPr>
      <w:r>
        <w:rPr>
          <w:rFonts w:ascii="Arial" w:cs="Arial" w:eastAsia="Arial" w:hAnsi="Arial"/>
          <w:sz w:val="24"/>
          <w:szCs w:val="24"/>
        </w:rPr>
        <w:t xml:space="preserve">No auth required</w:t>
      </w:r>
    </w:p>
    <w:p>
      <w:pPr>
        <w:spacing w:after="0" w:before="120"/>
      </w:pPr>
      <w:r>
        <w:t xml:space="preserve"/>
      </w:r>
    </w:p>
    <w:p>
      <w:pPr>
        <w:pStyle w:val="Heading3"/>
        <w:spacing w:after="8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POST /api/cases</w:t>
      </w:r>
    </w:p>
    <w:p>
      <w:pPr>
        <w:pStyle w:val="ListParagraph"/>
        <w:numPr>
          <w:ilvl w:val="false"/>
          <w:numId w:val="{bullets-0}"/>
        </w:numPr>
      </w:pPr>
      <w:r>
        <w:rPr>
          <w:rFonts w:ascii="Arial" w:cs="Arial" w:eastAsia="Arial" w:hAnsi="Arial"/>
          <w:sz w:val="24"/>
          <w:szCs w:val="24"/>
        </w:rPr>
        <w:t xml:space="preserve">Create vendor case: {name, country, ownership, data_quality, exec, program, profile}</w:t>
      </w:r>
    </w:p>
    <w:p>
      <w:pPr>
        <w:pStyle w:val="ListParagraph"/>
        <w:numPr>
          <w:ilvl w:val="false"/>
          <w:numId w:val="{bullets-0}"/>
        </w:numPr>
      </w:pPr>
      <w:r>
        <w:rPr>
          <w:rFonts w:ascii="Arial" w:cs="Arial" w:eastAsia="Arial" w:hAnsi="Arial"/>
          <w:sz w:val="24"/>
          <w:szCs w:val="24"/>
        </w:rPr>
        <w:t xml:space="preserve">Returns: {case_id, composite_score, is_hard_stop, calibrated}</w:t>
      </w:r>
    </w:p>
    <w:p>
      <w:pPr>
        <w:spacing w:after="0" w:before="120"/>
      </w:pPr>
      <w:r>
        <w:t xml:space="preserve"/>
      </w:r>
    </w:p>
    <w:p>
      <w:pPr>
        <w:pStyle w:val="Heading3"/>
        <w:spacing w:after="8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GET /api/cases/{id}</w:t>
      </w:r>
    </w:p>
    <w:p>
      <w:pPr>
        <w:pStyle w:val="ListParagraph"/>
        <w:numPr>
          <w:ilvl w:val="false"/>
          <w:numId w:val="{bullets-0}"/>
        </w:numPr>
      </w:pPr>
      <w:r>
        <w:rPr>
          <w:rFonts w:ascii="Arial" w:cs="Arial" w:eastAsia="Arial" w:hAnsi="Arial"/>
          <w:sz w:val="24"/>
          <w:szCs w:val="24"/>
        </w:rPr>
        <w:t xml:space="preserve">Retrieve case with latest score</w:t>
      </w:r>
    </w:p>
    <w:p>
      <w:pPr>
        <w:pStyle w:val="ListParagraph"/>
        <w:numPr>
          <w:ilvl w:val="false"/>
          <w:numId w:val="{bullets-0}"/>
        </w:numPr>
      </w:pPr>
      <w:r>
        <w:rPr>
          <w:rFonts w:ascii="Arial" w:cs="Arial" w:eastAsia="Arial" w:hAnsi="Arial"/>
          <w:sz w:val="24"/>
          <w:szCs w:val="24"/>
        </w:rPr>
        <w:t xml:space="preserve">Returns: {id, vendor_name, status, created_at, score}</w:t>
      </w:r>
    </w:p>
    <w:p>
      <w:pPr>
        <w:spacing w:after="0" w:before="120"/>
      </w:pPr>
      <w:r>
        <w:t xml:space="preserve"/>
      </w:r>
    </w:p>
    <w:p>
      <w:pPr>
        <w:pStyle w:val="Heading3"/>
        <w:spacing w:after="8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POST /api/cases/{id}/score</w:t>
      </w:r>
    </w:p>
    <w:p>
      <w:pPr>
        <w:pStyle w:val="ListParagraph"/>
        <w:numPr>
          <w:ilvl w:val="false"/>
          <w:numId w:val="{bullets-0}"/>
        </w:numPr>
      </w:pPr>
      <w:r>
        <w:rPr>
          <w:rFonts w:ascii="Arial" w:cs="Arial" w:eastAsia="Arial" w:hAnsi="Arial"/>
          <w:sz w:val="24"/>
          <w:szCs w:val="24"/>
        </w:rPr>
        <w:t xml:space="preserve">Re-score vendor (e.g., after enrichment update)</w:t>
      </w:r>
    </w:p>
    <w:p>
      <w:pPr>
        <w:pStyle w:val="ListParagraph"/>
        <w:numPr>
          <w:ilvl w:val="false"/>
          <w:numId w:val="{bullets-0}"/>
        </w:numPr>
      </w:pPr>
      <w:r>
        <w:rPr>
          <w:rFonts w:ascii="Arial" w:cs="Arial" w:eastAsia="Arial" w:hAnsi="Arial"/>
          <w:sz w:val="24"/>
          <w:szCs w:val="24"/>
        </w:rPr>
        <w:t xml:space="preserve">Returns: updated score object</w:t>
      </w:r>
    </w:p>
    <w:p>
      <w:pPr>
        <w:spacing w:after="0" w:before="120"/>
      </w:pPr>
      <w:r>
        <w:t xml:space="preserve"/>
      </w:r>
    </w:p>
    <w:p>
      <w:pPr>
        <w:pStyle w:val="Heading3"/>
        <w:spacing w:after="8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POST /api/cases/{id}/enrich</w:t>
      </w:r>
    </w:p>
    <w:p>
      <w:pPr>
        <w:pStyle w:val="ListParagraph"/>
        <w:numPr>
          <w:ilvl w:val="false"/>
          <w:numId w:val="{bullets-0}"/>
        </w:numPr>
      </w:pPr>
      <w:r>
        <w:rPr>
          <w:rFonts w:ascii="Arial" w:cs="Arial" w:eastAsia="Arial" w:hAnsi="Arial"/>
          <w:sz w:val="24"/>
          <w:szCs w:val="24"/>
        </w:rPr>
        <w:t xml:space="preserve">Run OSINT enrichment (27 connectors, ~60s)</w:t>
      </w:r>
    </w:p>
    <w:p>
      <w:pPr>
        <w:pStyle w:val="ListParagraph"/>
        <w:numPr>
          <w:ilvl w:val="false"/>
          <w:numId w:val="{bullets-0}"/>
        </w:numPr>
      </w:pPr>
      <w:r>
        <w:rPr>
          <w:rFonts w:ascii="Arial" w:cs="Arial" w:eastAsia="Arial" w:hAnsi="Arial"/>
          <w:sz w:val="24"/>
          <w:szCs w:val="24"/>
        </w:rPr>
        <w:t xml:space="preserve">Returns: {findings, identifiers, relationships, risk_signals, connector_status}</w:t>
      </w:r>
    </w:p>
    <w:p>
      <w:pPr>
        <w:spacing w:after="0" w:before="120"/>
      </w:pPr>
      <w:r>
        <w:t xml:space="preserve"/>
      </w:r>
    </w:p>
    <w:p>
      <w:pPr>
        <w:pStyle w:val="Heading3"/>
        <w:spacing w:after="8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POST /api/cases/{id}/enrich-and-score</w:t>
      </w:r>
    </w:p>
    <w:p>
      <w:pPr>
        <w:pStyle w:val="ListParagraph"/>
        <w:numPr>
          <w:ilvl w:val="false"/>
          <w:numId w:val="{bullets-0}"/>
        </w:numPr>
      </w:pPr>
      <w:r>
        <w:rPr>
          <w:rFonts w:ascii="Arial" w:cs="Arial" w:eastAsia="Arial" w:hAnsi="Arial"/>
          <w:sz w:val="24"/>
          <w:szCs w:val="24"/>
        </w:rPr>
        <w:t xml:space="preserve">Full pipeline: enrich → augment → re-score</w:t>
      </w:r>
    </w:p>
    <w:p>
      <w:pPr>
        <w:pStyle w:val="ListParagraph"/>
        <w:numPr>
          <w:ilvl w:val="false"/>
          <w:numId w:val="{bullets-0}"/>
        </w:numPr>
      </w:pPr>
      <w:r>
        <w:rPr>
          <w:rFonts w:ascii="Arial" w:cs="Arial" w:eastAsia="Arial" w:hAnsi="Arial"/>
          <w:sz w:val="24"/>
          <w:szCs w:val="24"/>
        </w:rPr>
        <w:t xml:space="preserve">Returns: updated case with new score</w:t>
      </w:r>
    </w:p>
    <w:p>
      <w:pPr>
        <w:spacing w:after="0" w:before="120"/>
      </w:pPr>
      <w:r>
        <w:t xml:space="preserve"/>
      </w:r>
    </w:p>
    <w:p>
      <w:pPr>
        <w:pStyle w:val="Heading3"/>
        <w:spacing w:after="8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GET /api/cases/{id}/enrichment</w:t>
      </w:r>
    </w:p>
    <w:p>
      <w:pPr>
        <w:pStyle w:val="ListParagraph"/>
        <w:numPr>
          <w:ilvl w:val="false"/>
          <w:numId w:val="{bullets-0}"/>
        </w:numPr>
      </w:pPr>
      <w:r>
        <w:rPr>
          <w:rFonts w:ascii="Arial" w:cs="Arial" w:eastAsia="Arial" w:hAnsi="Arial"/>
          <w:sz w:val="24"/>
          <w:szCs w:val="24"/>
        </w:rPr>
        <w:t xml:space="preserve">Retrieve latest enrichment report</w:t>
      </w:r>
    </w:p>
    <w:p>
      <w:pPr>
        <w:pStyle w:val="ListParagraph"/>
        <w:numPr>
          <w:ilvl w:val="false"/>
          <w:numId w:val="{bullets-0}"/>
        </w:numPr>
      </w:pPr>
      <w:r>
        <w:rPr>
          <w:rFonts w:ascii="Arial" w:cs="Arial" w:eastAsia="Arial" w:hAnsi="Arial"/>
          <w:sz w:val="24"/>
          <w:szCs w:val="24"/>
        </w:rPr>
        <w:t xml:space="preserve">Returns: full enrichment JSON</w:t>
      </w:r>
    </w:p>
    <w:p>
      <w:pPr>
        <w:spacing w:after="0" w:before="120"/>
      </w:pPr>
      <w:r>
        <w:t xml:space="preserve"/>
      </w:r>
    </w:p>
    <w:p>
      <w:pPr>
        <w:pStyle w:val="Heading3"/>
        <w:spacing w:after="8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POST /api/enrich</w:t>
      </w:r>
    </w:p>
    <w:p>
      <w:pPr>
        <w:pStyle w:val="ListParagraph"/>
        <w:numPr>
          <w:ilvl w:val="false"/>
          <w:numId w:val="{bullets-0}"/>
        </w:numPr>
      </w:pPr>
      <w:r>
        <w:rPr>
          <w:rFonts w:ascii="Arial" w:cs="Arial" w:eastAsia="Arial" w:hAnsi="Arial"/>
          <w:sz w:val="24"/>
          <w:szCs w:val="24"/>
        </w:rPr>
        <w:t xml:space="preserve">Standalone OSINT enrichment (no case required)</w:t>
      </w:r>
    </w:p>
    <w:p>
      <w:pPr>
        <w:pStyle w:val="ListParagraph"/>
        <w:numPr>
          <w:ilvl w:val="false"/>
          <w:numId w:val="{bullets-0}"/>
        </w:numPr>
      </w:pPr>
      <w:r>
        <w:rPr>
          <w:rFonts w:ascii="Arial" w:cs="Arial" w:eastAsia="Arial" w:hAnsi="Arial"/>
          <w:sz w:val="24"/>
          <w:szCs w:val="24"/>
        </w:rPr>
        <w:t xml:space="preserve">Params: {vendor_name, country, ...ids}</w:t>
      </w:r>
    </w:p>
    <w:p>
      <w:pPr>
        <w:pStyle w:val="ListParagraph"/>
        <w:numPr>
          <w:ilvl w:val="false"/>
          <w:numId w:val="{bullets-0}"/>
        </w:numPr>
      </w:pPr>
      <w:r>
        <w:rPr>
          <w:rFonts w:ascii="Arial" w:cs="Arial" w:eastAsia="Arial" w:hAnsi="Arial"/>
          <w:sz w:val="24"/>
          <w:szCs w:val="24"/>
        </w:rPr>
        <w:t xml:space="preserve">Returns: enrichment report</w:t>
      </w:r>
    </w:p>
    <w:p>
      <w:pPr>
        <w:spacing w:after="0" w:before="120"/>
      </w:pPr>
      <w:r>
        <w:t xml:space="preserve"/>
      </w:r>
    </w:p>
    <w:p>
      <w:pPr>
        <w:pStyle w:val="Heading3"/>
        <w:spacing w:after="8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POST /api/screen</w:t>
      </w:r>
    </w:p>
    <w:p>
      <w:pPr>
        <w:pStyle w:val="ListParagraph"/>
        <w:numPr>
          <w:ilvl w:val="false"/>
          <w:numId w:val="{bullets-0}"/>
        </w:numPr>
      </w:pPr>
      <w:r>
        <w:rPr>
          <w:rFonts w:ascii="Arial" w:cs="Arial" w:eastAsia="Arial" w:hAnsi="Arial"/>
          <w:sz w:val="24"/>
          <w:szCs w:val="24"/>
        </w:rPr>
        <w:t xml:space="preserve">Screen vendor name against OFAC SDN</w:t>
      </w:r>
    </w:p>
    <w:p>
      <w:pPr>
        <w:pStyle w:val="ListParagraph"/>
        <w:numPr>
          <w:ilvl w:val="false"/>
          <w:numId w:val="{bullets-0}"/>
        </w:numPr>
      </w:pPr>
      <w:r>
        <w:rPr>
          <w:rFonts w:ascii="Arial" w:cs="Arial" w:eastAsia="Arial" w:hAnsi="Arial"/>
          <w:sz w:val="24"/>
          <w:szCs w:val="24"/>
        </w:rPr>
        <w:t xml:space="preserve">Returns: {matched, entity, score}</w:t>
      </w:r>
    </w:p>
    <w:p>
      <w:pPr>
        <w:spacing w:after="0" w:before="120"/>
      </w:pPr>
      <w:r>
        <w:t xml:space="preserve"/>
      </w:r>
    </w:p>
    <w:p>
      <w:pPr>
        <w:pStyle w:val="Heading3"/>
        <w:spacing w:after="8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POST /api/cases/{id}/dossier</w:t>
      </w:r>
    </w:p>
    <w:p>
      <w:pPr>
        <w:pStyle w:val="ListParagraph"/>
        <w:numPr>
          <w:ilvl w:val="false"/>
          <w:numId w:val="{bullets-0}"/>
        </w:numPr>
      </w:pPr>
      <w:r>
        <w:rPr>
          <w:rFonts w:ascii="Arial" w:cs="Arial" w:eastAsia="Arial" w:hAnsi="Arial"/>
          <w:sz w:val="24"/>
          <w:szCs w:val="24"/>
        </w:rPr>
        <w:t xml:space="preserve">Generate HTML dossier (score + enrichment + risk summary)</w:t>
      </w:r>
    </w:p>
    <w:p>
      <w:pPr>
        <w:pStyle w:val="ListParagraph"/>
        <w:numPr>
          <w:ilvl w:val="false"/>
          <w:numId w:val="{bullets-0}"/>
        </w:numPr>
      </w:pPr>
      <w:r>
        <w:rPr>
          <w:rFonts w:ascii="Arial" w:cs="Arial" w:eastAsia="Arial" w:hAnsi="Arial"/>
          <w:sz w:val="24"/>
          <w:szCs w:val="24"/>
        </w:rPr>
        <w:t xml:space="preserve">Returns: HTML blob</w:t>
      </w:r>
    </w:p>
    <w:p>
      <w:pPr>
        <w:spacing w:after="0" w:before="120"/>
      </w:pPr>
      <w:r>
        <w:t xml:space="preserve"/>
      </w:r>
    </w:p>
    <w:p>
      <w:pPr>
        <w:pStyle w:val="Heading3"/>
        <w:spacing w:after="8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GET /api/audit</w:t>
      </w:r>
    </w:p>
    <w:p>
      <w:pPr>
        <w:pStyle w:val="ListParagraph"/>
        <w:numPr>
          <w:ilvl w:val="false"/>
          <w:numId w:val="{bullets-0}"/>
        </w:numPr>
      </w:pPr>
      <w:r>
        <w:rPr>
          <w:rFonts w:ascii="Arial" w:cs="Arial" w:eastAsia="Arial" w:hAnsi="Arial"/>
          <w:sz w:val="24"/>
          <w:szCs w:val="24"/>
        </w:rPr>
        <w:t xml:space="preserve">Audit log (auditor+ role only)</w:t>
      </w:r>
    </w:p>
    <w:p>
      <w:pPr>
        <w:pStyle w:val="ListParagraph"/>
        <w:numPr>
          <w:ilvl w:val="false"/>
          <w:numId w:val="{bullets-0}"/>
        </w:numPr>
      </w:pPr>
      <w:r>
        <w:rPr>
          <w:rFonts w:ascii="Arial" w:cs="Arial" w:eastAsia="Arial" w:hAnsi="Arial"/>
          <w:sz w:val="24"/>
          <w:szCs w:val="24"/>
        </w:rPr>
        <w:t xml:space="preserve">Params: ?limit=N, ?user=, ?action=, ?case_id=</w:t>
      </w:r>
    </w:p>
    <w:p>
      <w:pPr>
        <w:pStyle w:val="ListParagraph"/>
        <w:numPr>
          <w:ilvl w:val="false"/>
          <w:numId w:val="{bullets-0}"/>
        </w:numPr>
      </w:pPr>
      <w:r>
        <w:rPr>
          <w:rFonts w:ascii="Arial" w:cs="Arial" w:eastAsia="Arial" w:hAnsi="Arial"/>
          <w:sz w:val="24"/>
          <w:szCs w:val="24"/>
        </w:rPr>
        <w:t xml:space="preserve">Returns: [{timestamp, user, action, case_id, details}]</w:t>
      </w:r>
    </w:p>
    <w:p>
      <w:r>
        <w:br w:type="page"/>
      </w:r>
    </w:p>
    <w:p>
      <w:pPr>
        <w:pStyle w:val="Heading1"/>
        <w:spacing w:after="240" w:before="240"/>
      </w:pPr>
      <w:r>
        <w:rPr>
          <w:rFonts w:ascii="Arial" w:cs="Arial" w:eastAsia="Arial" w:hAnsi="Arial"/>
          <w:b/>
          <w:bCs/>
          <w:color w:val="C4A052"/>
          <w:sz w:val="32"/>
          <w:szCs w:val="32"/>
        </w:rPr>
        <w:t xml:space="preserve">8. Deployment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180"/>
      </w:pPr>
      <w:r>
        <w:rPr>
          <w:rFonts w:ascii="Arial" w:cs="Arial" w:eastAsia="Arial" w:hAnsi="Arial"/>
          <w:b/>
          <w:bCs/>
          <w:color w:val="C4A052"/>
          <w:sz w:val="28"/>
          <w:szCs w:val="28"/>
        </w:rPr>
        <w:t xml:space="preserve">8.1 Docker Compose</w:t>
      </w:r>
    </w:p>
    <w:p>
      <w:pPr>
        <w:spacing w:line="36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Full stack (backend + frontend + SQLite) deployed via Docker Compose:</w:t>
      </w:r>
    </w:p>
    <w:p>
      <w:pPr>
        <w:spacing w:after="0" w:before="80"/>
      </w:pPr>
      <w:r>
        <w:t xml:space="preserve"/>
      </w:r>
    </w:p>
    <w:p>
      <w:pPr>
        <w:pStyle w:val="ListParagraph"/>
        <w:numPr>
          <w:ilvl w:val="false"/>
          <w:numId w:val="{bullets-0}"/>
        </w:numPr>
      </w:pPr>
      <w:r>
        <w:rPr>
          <w:rFonts w:ascii="Arial" w:cs="Arial" w:eastAsia="Arial" w:hAnsi="Arial"/>
          <w:sz w:val="24"/>
          <w:szCs w:val="24"/>
        </w:rPr>
        <w:t xml:space="preserve">docker-compose up -d</w:t>
      </w:r>
    </w:p>
    <w:p>
      <w:pPr>
        <w:pStyle w:val="ListParagraph"/>
        <w:numPr>
          <w:ilvl w:val="false"/>
          <w:numId w:val="{bullets-0}"/>
        </w:numPr>
      </w:pPr>
      <w:r>
        <w:rPr>
          <w:rFonts w:ascii="Arial" w:cs="Arial" w:eastAsia="Arial" w:hAnsi="Arial"/>
          <w:sz w:val="24"/>
          <w:szCs w:val="24"/>
        </w:rPr>
        <w:t xml:space="preserve">Backend: Python 3.10, Flask, Gunicorn (port 5000)</w:t>
      </w:r>
    </w:p>
    <w:p>
      <w:pPr>
        <w:pStyle w:val="ListParagraph"/>
        <w:numPr>
          <w:ilvl w:val="false"/>
          <w:numId w:val="{bullets-0}"/>
        </w:numPr>
      </w:pPr>
      <w:r>
        <w:rPr>
          <w:rFonts w:ascii="Arial" w:cs="Arial" w:eastAsia="Arial" w:hAnsi="Arial"/>
          <w:sz w:val="24"/>
          <w:szCs w:val="24"/>
        </w:rPr>
        <w:t xml:space="preserve">Frontend: Node 18, React, Vite (port 3000)</w:t>
      </w:r>
    </w:p>
    <w:p>
      <w:pPr>
        <w:pStyle w:val="ListParagraph"/>
        <w:numPr>
          <w:ilvl w:val="false"/>
          <w:numId w:val="{bullets-0}"/>
        </w:numPr>
      </w:pPr>
      <w:r>
        <w:rPr>
          <w:rFonts w:ascii="Arial" w:cs="Arial" w:eastAsia="Arial" w:hAnsi="Arial"/>
          <w:sz w:val="24"/>
          <w:szCs w:val="24"/>
        </w:rPr>
        <w:t xml:space="preserve">Reverse proxy: Nginx or local HTTPS wrapper</w:t>
      </w:r>
    </w:p>
    <w:p>
      <w:pPr>
        <w:spacing w:after="0" w:before="240"/>
      </w:pPr>
      <w:r>
        <w:t xml:space="preserve"/>
      </w:r>
    </w:p>
    <w:p>
      <w:pPr>
        <w:pStyle w:val="Heading2"/>
        <w:spacing w:after="120" w:before="180"/>
      </w:pPr>
      <w:r>
        <w:rPr>
          <w:rFonts w:ascii="Arial" w:cs="Arial" w:eastAsia="Arial" w:hAnsi="Arial"/>
          <w:b/>
          <w:bCs/>
          <w:color w:val="C4A052"/>
          <w:sz w:val="28"/>
          <w:szCs w:val="28"/>
        </w:rPr>
        <w:t xml:space="preserve">8.2 Environment Variables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200"/>
        <w:gridCol w:w="1600"/>
        <w:gridCol w:w="3560"/>
      </w:tblGrid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C4A052" w:sz="2"/>
              <w:right w:val="single" w:color="E5E7EB" w:sz="1"/>
            </w:tcBorders>
            <w:shd w:fill="C4A05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a0e17"/>
                <w:sz w:val="24"/>
                <w:szCs w:val="24"/>
              </w:rPr>
              <w:t xml:space="preserve">Variable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C4A052" w:sz="2"/>
              <w:right w:val="single" w:color="E5E7EB" w:sz="1"/>
            </w:tcBorders>
            <w:shd w:fill="C4A05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a0e17"/>
                <w:sz w:val="24"/>
                <w:szCs w:val="24"/>
              </w:rPr>
              <w:t xml:space="preserve">Required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C4A052" w:sz="2"/>
              <w:right w:val="single" w:color="E5E7EB" w:sz="1"/>
            </w:tcBorders>
            <w:shd w:fill="C4A05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a0e17"/>
                <w:sz w:val="24"/>
                <w:szCs w:val="24"/>
              </w:rPr>
              <w:t xml:space="preserve">Default</w:t>
            </w:r>
          </w:p>
        </w:tc>
        <w:tc>
          <w:tcPr>
            <w:tcW w:type="dxa" w:w="3560"/>
            <w:tcBorders>
              <w:top w:val="single" w:color="E5E7EB" w:sz="1"/>
              <w:left w:val="single" w:color="E5E7EB" w:sz="1"/>
              <w:bottom w:val="single" w:color="C4A052" w:sz="2"/>
              <w:right w:val="single" w:color="E5E7EB" w:sz="1"/>
            </w:tcBorders>
            <w:shd w:fill="C4A05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a0e17"/>
                <w:sz w:val="24"/>
                <w:szCs w:val="24"/>
              </w:rPr>
              <w:t xml:space="preserve">Purpose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SAM_GOV_API_KEY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Yes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(none)</w:t>
            </w:r>
          </w:p>
        </w:tc>
        <w:tc>
          <w:tcPr>
            <w:tcW w:type="dxa" w:w="3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Entity resolution + SAM enrichment. Get key at open.gsa.gov/api/entity-api/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JWT_SECRET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No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auto-generated</w:t>
            </w:r>
          </w:p>
        </w:tc>
        <w:tc>
          <w:tcPr>
            <w:tcW w:type="dxa" w:w="3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JWT token signing. If not set, a random 32-byte key is generated.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DATABASE_URL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No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/var/lib/xiphos/helios.db</w:t>
            </w:r>
          </w:p>
        </w:tc>
        <w:tc>
          <w:tcPr>
            <w:tcW w:type="dxa" w:w="3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SQLite database file path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XIPHOS_CACHE_DIR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No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/tmp/xiphos_cache</w:t>
            </w:r>
          </w:p>
        </w:tc>
        <w:tc>
          <w:tcPr>
            <w:tcW w:type="dxa" w:w="3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Cache directory for SEC EDGAR tickers (24h TTL)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FLASK_ENV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No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production</w:t>
            </w:r>
          </w:p>
        </w:tc>
        <w:tc>
          <w:tcPr>
            <w:tcW w:type="dxa" w:w="3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Set to development for debug mode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VITE_API_URL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No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window origin</w:t>
            </w:r>
          </w:p>
        </w:tc>
        <w:tc>
          <w:tcPr>
            <w:tcW w:type="dxa" w:w="3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Frontend API base URL (if different from UI origin)</w:t>
            </w:r>
          </w:p>
        </w:tc>
      </w:tr>
    </w:tbl>
    <w:p>
      <w:pPr>
        <w:spacing w:after="0" w:before="240"/>
      </w:pPr>
      <w:r>
        <w:t xml:space="preserve"/>
      </w:r>
    </w:p>
    <w:p>
      <w:pPr>
        <w:pStyle w:val="Heading2"/>
        <w:spacing w:after="120" w:before="180"/>
      </w:pPr>
      <w:r>
        <w:rPr>
          <w:rFonts w:ascii="Arial" w:cs="Arial" w:eastAsia="Arial" w:hAnsi="Arial"/>
          <w:b/>
          <w:bCs/>
          <w:color w:val="C4A052"/>
          <w:sz w:val="28"/>
          <w:szCs w:val="28"/>
        </w:rPr>
        <w:t xml:space="preserve">8.3 SAM.gov API Key Setup</w:t>
      </w:r>
    </w:p>
    <w:p>
      <w:pPr>
        <w:pStyle w:val="ListParagraph"/>
        <w:numPr>
          <w:ilvl w:val="false"/>
          <w:numId w:val="{bullets-0}"/>
        </w:numPr>
      </w:pPr>
      <w:r>
        <w:rPr>
          <w:rFonts w:ascii="Arial" w:cs="Arial" w:eastAsia="Arial" w:hAnsi="Arial"/>
          <w:sz w:val="24"/>
          <w:szCs w:val="24"/>
        </w:rPr>
        <w:t xml:space="preserve">Navigate to https://open.gsa.gov/api/entity-api/</w:t>
      </w:r>
    </w:p>
    <w:p>
      <w:pPr>
        <w:pStyle w:val="ListParagraph"/>
        <w:numPr>
          <w:ilvl w:val="false"/>
          <w:numId w:val="{bullets-0}"/>
        </w:numPr>
      </w:pPr>
      <w:r>
        <w:rPr>
          <w:rFonts w:ascii="Arial" w:cs="Arial" w:eastAsia="Arial" w:hAnsi="Arial"/>
          <w:sz w:val="24"/>
          <w:szCs w:val="24"/>
        </w:rPr>
        <w:t xml:space="preserve">Create free account or use existing login</w:t>
      </w:r>
    </w:p>
    <w:p>
      <w:pPr>
        <w:pStyle w:val="ListParagraph"/>
        <w:numPr>
          <w:ilvl w:val="false"/>
          <w:numId w:val="{bullets-0}"/>
        </w:numPr>
      </w:pPr>
      <w:r>
        <w:rPr>
          <w:rFonts w:ascii="Arial" w:cs="Arial" w:eastAsia="Arial" w:hAnsi="Arial"/>
          <w:sz w:val="24"/>
          <w:szCs w:val="24"/>
        </w:rPr>
        <w:t xml:space="preserve">Request API key (approval instant)</w:t>
      </w:r>
    </w:p>
    <w:p>
      <w:pPr>
        <w:pStyle w:val="ListParagraph"/>
        <w:numPr>
          <w:ilvl w:val="false"/>
          <w:numId w:val="{bullets-0}"/>
        </w:numPr>
      </w:pPr>
      <w:r>
        <w:rPr>
          <w:rFonts w:ascii="Arial" w:cs="Arial" w:eastAsia="Arial" w:hAnsi="Arial"/>
          <w:sz w:val="24"/>
          <w:szCs w:val="24"/>
        </w:rPr>
        <w:t xml:space="preserve">Set SAM_GOV_API_KEY env var before docker-compose up</w:t>
      </w:r>
    </w:p>
    <w:p>
      <w:pPr>
        <w:spacing w:after="0" w:before="240"/>
      </w:pPr>
      <w:r>
        <w:t xml:space="preserve"/>
      </w:r>
    </w:p>
    <w:p>
      <w:pPr>
        <w:pStyle w:val="Heading2"/>
        <w:spacing w:after="120" w:before="180"/>
      </w:pPr>
      <w:r>
        <w:rPr>
          <w:rFonts w:ascii="Arial" w:cs="Arial" w:eastAsia="Arial" w:hAnsi="Arial"/>
          <w:b/>
          <w:bCs/>
          <w:color w:val="C4A052"/>
          <w:sz w:val="28"/>
          <w:szCs w:val="28"/>
        </w:rPr>
        <w:t xml:space="preserve">8.4 HTTPS/TLS Configuration</w:t>
      </w:r>
    </w:p>
    <w:p>
      <w:pPr>
        <w:pStyle w:val="ListParagraph"/>
        <w:numPr>
          <w:ilvl w:val="false"/>
          <w:numId w:val="{bullets-0}"/>
        </w:numPr>
      </w:pPr>
      <w:r>
        <w:rPr>
          <w:rFonts w:ascii="Arial" w:cs="Arial" w:eastAsia="Arial" w:hAnsi="Arial"/>
          <w:sz w:val="24"/>
          <w:szCs w:val="24"/>
        </w:rPr>
        <w:t xml:space="preserve">Production: Use Let's Encrypt (certbot) + Nginx</w:t>
      </w:r>
    </w:p>
    <w:p>
      <w:pPr>
        <w:pStyle w:val="ListParagraph"/>
        <w:numPr>
          <w:ilvl w:val="false"/>
          <w:numId w:val="{bullets-0}"/>
        </w:numPr>
      </w:pPr>
      <w:r>
        <w:rPr>
          <w:rFonts w:ascii="Arial" w:cs="Arial" w:eastAsia="Arial" w:hAnsi="Arial"/>
          <w:sz w:val="24"/>
          <w:szCs w:val="24"/>
        </w:rPr>
        <w:t xml:space="preserve">Development: Self-signed certificate or local http://localhost</w:t>
      </w:r>
    </w:p>
    <w:p>
      <w:pPr>
        <w:pStyle w:val="ListParagraph"/>
        <w:numPr>
          <w:ilvl w:val="false"/>
          <w:numId w:val="{bullets-0}"/>
        </w:numPr>
      </w:pPr>
      <w:r>
        <w:rPr>
          <w:rFonts w:ascii="Arial" w:cs="Arial" w:eastAsia="Arial" w:hAnsi="Arial"/>
          <w:sz w:val="24"/>
          <w:szCs w:val="24"/>
        </w:rPr>
        <w:t xml:space="preserve">Nginx config: Redirect port 80 → 443, set HSTS header</w:t>
      </w:r>
    </w:p>
    <w:p>
      <w:pPr>
        <w:spacing w:after="0" w:before="240"/>
      </w:pPr>
      <w:r>
        <w:t xml:space="preserve"/>
      </w:r>
    </w:p>
    <w:p>
      <w:pPr>
        <w:pStyle w:val="Heading2"/>
        <w:spacing w:after="120" w:before="180"/>
      </w:pPr>
      <w:r>
        <w:rPr>
          <w:rFonts w:ascii="Arial" w:cs="Arial" w:eastAsia="Arial" w:hAnsi="Arial"/>
          <w:b/>
          <w:bCs/>
          <w:color w:val="C4A052"/>
          <w:sz w:val="28"/>
          <w:szCs w:val="28"/>
        </w:rPr>
        <w:t xml:space="preserve">8.5 SQLite Persistence</w:t>
      </w:r>
    </w:p>
    <w:p>
      <w:pPr>
        <w:pStyle w:val="ListParagraph"/>
        <w:numPr>
          <w:ilvl w:val="false"/>
          <w:numId w:val="{bullets-0}"/>
        </w:numPr>
      </w:pPr>
      <w:r>
        <w:rPr>
          <w:rFonts w:ascii="Arial" w:cs="Arial" w:eastAsia="Arial" w:hAnsi="Arial"/>
          <w:sz w:val="24"/>
          <w:szCs w:val="24"/>
        </w:rPr>
        <w:t xml:space="preserve">Database file: mounted volume (survives container restart)</w:t>
      </w:r>
    </w:p>
    <w:p>
      <w:pPr>
        <w:pStyle w:val="ListParagraph"/>
        <w:numPr>
          <w:ilvl w:val="false"/>
          <w:numId w:val="{bullets-0}"/>
        </w:numPr>
      </w:pPr>
      <w:r>
        <w:rPr>
          <w:rFonts w:ascii="Arial" w:cs="Arial" w:eastAsia="Arial" w:hAnsi="Arial"/>
          <w:sz w:val="24"/>
          <w:szCs w:val="24"/>
        </w:rPr>
        <w:t xml:space="preserve">Backup: daily cronjob to rsync /var/lib/xiphos/ to NAS</w:t>
      </w:r>
    </w:p>
    <w:p>
      <w:pPr>
        <w:pStyle w:val="ListParagraph"/>
        <w:numPr>
          <w:ilvl w:val="false"/>
          <w:numId w:val="{bullets-0}"/>
        </w:numPr>
      </w:pPr>
      <w:r>
        <w:rPr>
          <w:rFonts w:ascii="Arial" w:cs="Arial" w:eastAsia="Arial" w:hAnsi="Arial"/>
          <w:sz w:val="24"/>
          <w:szCs w:val="24"/>
        </w:rPr>
        <w:t xml:space="preserve">WAL mode enabled for write concurrency</w:t>
      </w:r>
    </w:p>
    <w:p>
      <w:pPr>
        <w:spacing w:after="0" w:before="240"/>
      </w:pPr>
      <w:r>
        <w:t xml:space="preserve"/>
      </w:r>
    </w:p>
    <w:p>
      <w:pPr>
        <w:pStyle w:val="Heading2"/>
        <w:spacing w:after="120" w:before="180"/>
      </w:pPr>
      <w:r>
        <w:rPr>
          <w:rFonts w:ascii="Arial" w:cs="Arial" w:eastAsia="Arial" w:hAnsi="Arial"/>
          <w:b/>
          <w:bCs/>
          <w:color w:val="C4A052"/>
          <w:sz w:val="28"/>
          <w:szCs w:val="28"/>
        </w:rPr>
        <w:t xml:space="preserve">8.6 Monitoring &amp; Logging</w:t>
      </w:r>
    </w:p>
    <w:p>
      <w:pPr>
        <w:pStyle w:val="ListParagraph"/>
        <w:numPr>
          <w:ilvl w:val="false"/>
          <w:numId w:val="{bullets-0}"/>
        </w:numPr>
      </w:pPr>
      <w:r>
        <w:rPr>
          <w:rFonts w:ascii="Arial" w:cs="Arial" w:eastAsia="Arial" w:hAnsi="Arial"/>
          <w:sz w:val="24"/>
          <w:szCs w:val="24"/>
        </w:rPr>
        <w:t xml:space="preserve">Flask logs: docker logs xiphos-backend</w:t>
      </w:r>
    </w:p>
    <w:p>
      <w:pPr>
        <w:pStyle w:val="ListParagraph"/>
        <w:numPr>
          <w:ilvl w:val="false"/>
          <w:numId w:val="{bullets-0}"/>
        </w:numPr>
      </w:pPr>
      <w:r>
        <w:rPr>
          <w:rFonts w:ascii="Arial" w:cs="Arial" w:eastAsia="Arial" w:hAnsi="Arial"/>
          <w:sz w:val="24"/>
          <w:szCs w:val="24"/>
        </w:rPr>
        <w:t xml:space="preserve">Audit trail: /api/audit endpoint (all actions logged to database)</w:t>
      </w:r>
    </w:p>
    <w:p>
      <w:pPr>
        <w:pStyle w:val="ListParagraph"/>
        <w:numPr>
          <w:ilvl w:val="false"/>
          <w:numId w:val="{bullets-0}"/>
        </w:numPr>
      </w:pPr>
      <w:r>
        <w:rPr>
          <w:rFonts w:ascii="Arial" w:cs="Arial" w:eastAsia="Arial" w:hAnsi="Arial"/>
          <w:sz w:val="24"/>
          <w:szCs w:val="24"/>
        </w:rPr>
        <w:t xml:space="preserve">Health: /api/health (returns database + version status)</w:t>
      </w:r>
    </w:p>
    <w:p>
      <w:r>
        <w:br w:type="page"/>
      </w:r>
    </w:p>
    <w:p>
      <w:pPr>
        <w:pStyle w:val="Heading1"/>
        <w:spacing w:after="240" w:before="240"/>
      </w:pPr>
      <w:r>
        <w:rPr>
          <w:rFonts w:ascii="Arial" w:cs="Arial" w:eastAsia="Arial" w:hAnsi="Arial"/>
          <w:b/>
          <w:bCs/>
          <w:color w:val="C4A052"/>
          <w:sz w:val="32"/>
          <w:szCs w:val="32"/>
        </w:rPr>
        <w:t xml:space="preserve">9. Dependencies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180"/>
      </w:pPr>
      <w:r>
        <w:rPr>
          <w:rFonts w:ascii="Arial" w:cs="Arial" w:eastAsia="Arial" w:hAnsi="Arial"/>
          <w:b/>
          <w:bCs/>
          <w:color w:val="C4A052"/>
          <w:sz w:val="28"/>
          <w:szCs w:val="28"/>
        </w:rPr>
        <w:t xml:space="preserve">9.1 Python Backend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500"/>
        <w:gridCol w:w="5460"/>
      </w:tblGrid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C4A052" w:sz="2"/>
              <w:right w:val="single" w:color="E5E7EB" w:sz="1"/>
            </w:tcBorders>
            <w:shd w:fill="C4A05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a0e17"/>
                <w:sz w:val="24"/>
                <w:szCs w:val="24"/>
              </w:rPr>
              <w:t xml:space="preserve">Package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C4A052" w:sz="2"/>
              <w:right w:val="single" w:color="E5E7EB" w:sz="1"/>
            </w:tcBorders>
            <w:shd w:fill="C4A05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a0e17"/>
                <w:sz w:val="24"/>
                <w:szCs w:val="24"/>
              </w:rPr>
              <w:t xml:space="preserve">Version</w:t>
            </w:r>
          </w:p>
        </w:tc>
        <w:tc>
          <w:tcPr>
            <w:tcW w:type="dxa" w:w="5460"/>
            <w:tcBorders>
              <w:top w:val="single" w:color="E5E7EB" w:sz="1"/>
              <w:left w:val="single" w:color="E5E7EB" w:sz="1"/>
              <w:bottom w:val="single" w:color="C4A052" w:sz="2"/>
              <w:right w:val="single" w:color="E5E7EB" w:sz="1"/>
            </w:tcBorders>
            <w:shd w:fill="C4A05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a0e17"/>
                <w:sz w:val="24"/>
                <w:szCs w:val="24"/>
              </w:rPr>
              <w:t xml:space="preserve">Purpose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Flask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3.0+</w:t>
            </w:r>
          </w:p>
        </w:tc>
        <w:tc>
          <w:tcPr>
            <w:tcW w:type="dxa" w:w="54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Web framework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Flask-JWT-Extended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4.4+</w:t>
            </w:r>
          </w:p>
        </w:tc>
        <w:tc>
          <w:tcPr>
            <w:tcW w:type="dxa" w:w="54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JWT authentication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Gunicorn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20.1+</w:t>
            </w:r>
          </w:p>
        </w:tc>
        <w:tc>
          <w:tcPr>
            <w:tcW w:type="dxa" w:w="54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WSGI application server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requests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2.31+</w:t>
            </w:r>
          </w:p>
        </w:tc>
        <w:tc>
          <w:tcPr>
            <w:tcW w:type="dxa" w:w="54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HTTP client for OSINT APIs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python-dateutil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2.8+</w:t>
            </w:r>
          </w:p>
        </w:tc>
        <w:tc>
          <w:tcPr>
            <w:tcW w:type="dxa" w:w="54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Date/time utilities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ofac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0.1+</w:t>
            </w:r>
          </w:p>
        </w:tc>
        <w:tc>
          <w:tcPr>
            <w:tcW w:type="dxa" w:w="54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OFAC SDN screening (py-ofac)</w:t>
            </w:r>
          </w:p>
        </w:tc>
      </w:tr>
    </w:tbl>
    <w:p>
      <w:pPr>
        <w:spacing w:after="0" w:before="240"/>
      </w:pPr>
      <w:r>
        <w:t xml:space="preserve"/>
      </w:r>
    </w:p>
    <w:p>
      <w:pPr>
        <w:pStyle w:val="Heading2"/>
        <w:spacing w:after="120" w:before="180"/>
      </w:pPr>
      <w:r>
        <w:rPr>
          <w:rFonts w:ascii="Arial" w:cs="Arial" w:eastAsia="Arial" w:hAnsi="Arial"/>
          <w:b/>
          <w:bCs/>
          <w:color w:val="C4A052"/>
          <w:sz w:val="28"/>
          <w:szCs w:val="28"/>
        </w:rPr>
        <w:t xml:space="preserve">9.2 Node Frontend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500"/>
        <w:gridCol w:w="5460"/>
      </w:tblGrid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C4A052" w:sz="2"/>
              <w:right w:val="single" w:color="E5E7EB" w:sz="1"/>
            </w:tcBorders>
            <w:shd w:fill="C4A05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a0e17"/>
                <w:sz w:val="24"/>
                <w:szCs w:val="24"/>
              </w:rPr>
              <w:t xml:space="preserve">Package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C4A052" w:sz="2"/>
              <w:right w:val="single" w:color="E5E7EB" w:sz="1"/>
            </w:tcBorders>
            <w:shd w:fill="C4A05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a0e17"/>
                <w:sz w:val="24"/>
                <w:szCs w:val="24"/>
              </w:rPr>
              <w:t xml:space="preserve">Version</w:t>
            </w:r>
          </w:p>
        </w:tc>
        <w:tc>
          <w:tcPr>
            <w:tcW w:type="dxa" w:w="5460"/>
            <w:tcBorders>
              <w:top w:val="single" w:color="E5E7EB" w:sz="1"/>
              <w:left w:val="single" w:color="E5E7EB" w:sz="1"/>
              <w:bottom w:val="single" w:color="C4A052" w:sz="2"/>
              <w:right w:val="single" w:color="E5E7EB" w:sz="1"/>
            </w:tcBorders>
            <w:shd w:fill="C4A05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a0e17"/>
                <w:sz w:val="24"/>
                <w:szCs w:val="24"/>
              </w:rPr>
              <w:t xml:space="preserve">Purpose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react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18.2+</w:t>
            </w:r>
          </w:p>
        </w:tc>
        <w:tc>
          <w:tcPr>
            <w:tcW w:type="dxa" w:w="54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UI framework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react-router-dom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6.10+</w:t>
            </w:r>
          </w:p>
        </w:tc>
        <w:tc>
          <w:tcPr>
            <w:tcW w:type="dxa" w:w="54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Client-side routing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typescript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5.0+</w:t>
            </w:r>
          </w:p>
        </w:tc>
        <w:tc>
          <w:tcPr>
            <w:tcW w:type="dxa" w:w="54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Type safety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vite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4.0+</w:t>
            </w:r>
          </w:p>
        </w:tc>
        <w:tc>
          <w:tcPr>
            <w:tcW w:type="dxa" w:w="54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Build tool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axios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1.4+</w:t>
            </w:r>
          </w:p>
        </w:tc>
        <w:tc>
          <w:tcPr>
            <w:tcW w:type="dxa" w:w="54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HTTP client for API</w:t>
            </w:r>
          </w:p>
        </w:tc>
      </w:tr>
    </w:tbl>
    <w:p>
      <w:pPr>
        <w:spacing w:after="0" w:before="240"/>
      </w:pPr>
      <w:r>
        <w:t xml:space="preserve"/>
      </w:r>
    </w:p>
    <w:p>
      <w:pPr>
        <w:pStyle w:val="Heading2"/>
        <w:spacing w:after="120" w:before="180"/>
      </w:pPr>
      <w:r>
        <w:rPr>
          <w:rFonts w:ascii="Arial" w:cs="Arial" w:eastAsia="Arial" w:hAnsi="Arial"/>
          <w:b/>
          <w:bCs/>
          <w:color w:val="C4A052"/>
          <w:sz w:val="28"/>
          <w:szCs w:val="28"/>
        </w:rPr>
        <w:t xml:space="preserve">9.3 External APIs (All Free/Freemium)</w:t>
      </w:r>
    </w:p>
    <w:p>
      <w:pPr>
        <w:spacing w:line="36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All 27 OSINT connectors use free or freemium-tier APIs with no paid subscriptions required:</w:t>
      </w:r>
    </w:p>
    <w:p>
      <w:pPr>
        <w:spacing w:after="0" w:before="80"/>
      </w:pPr>
      <w:r>
        <w:t xml:space="preserve"/>
      </w:r>
    </w:p>
    <w:p>
      <w:pPr>
        <w:pStyle w:val="ListParagraph"/>
        <w:numPr>
          <w:ilvl w:val="false"/>
          <w:numId w:val="{bullets-0}"/>
        </w:numPr>
      </w:pPr>
      <w:r>
        <w:rPr>
          <w:rFonts w:ascii="Arial" w:cs="Arial" w:eastAsia="Arial" w:hAnsi="Arial"/>
          <w:sz w:val="24"/>
          <w:szCs w:val="24"/>
        </w:rPr>
        <w:t xml:space="preserve">Government APIs (0 cost): SEC, SAM.gov, FPDS, EPA, OSHA, CISA, GLEIF, OpenCorporates</w:t>
      </w:r>
    </w:p>
    <w:p>
      <w:pPr>
        <w:pStyle w:val="ListParagraph"/>
        <w:numPr>
          <w:ilvl w:val="false"/>
          <w:numId w:val="{bullets-0}"/>
        </w:numPr>
      </w:pPr>
      <w:r>
        <w:rPr>
          <w:rFonts w:ascii="Arial" w:cs="Arial" w:eastAsia="Arial" w:hAnsi="Arial"/>
          <w:sz w:val="24"/>
          <w:szCs w:val="24"/>
        </w:rPr>
        <w:t xml:space="preserve">Freemium APIs (0 cost for research): CourtListener, Wikidata, Google News, UN Direct Feed</w:t>
      </w:r>
    </w:p>
    <w:p>
      <w:pPr>
        <w:pStyle w:val="ListParagraph"/>
        <w:numPr>
          <w:ilvl w:val="false"/>
          <w:numId w:val="{bullets-0}"/>
        </w:numPr>
      </w:pPr>
      <w:r>
        <w:rPr>
          <w:rFonts w:ascii="Arial" w:cs="Arial" w:eastAsia="Arial" w:hAnsi="Arial"/>
          <w:sz w:val="24"/>
          <w:szCs w:val="24"/>
        </w:rPr>
        <w:t xml:space="preserve">No API keys required: SEC EDGAR, Wikidata SPARQL, Google News RSS, Trade CSL, Consolidated Screening List</w:t>
      </w:r>
    </w:p>
    <w:p>
      <w:pPr>
        <w:pStyle w:val="ListParagraph"/>
        <w:numPr>
          <w:ilvl w:val="false"/>
          <w:numId w:val="{bullets-0}"/>
        </w:numPr>
      </w:pPr>
      <w:r>
        <w:rPr>
          <w:rFonts w:ascii="Arial" w:cs="Arial" w:eastAsia="Arial" w:hAnsi="Arial"/>
          <w:sz w:val="24"/>
          <w:szCs w:val="24"/>
        </w:rPr>
        <w:t xml:space="preserve">API keys required: SAM.gov (free), Google News (free RSS)</w:t>
      </w:r>
    </w:p>
    <w:p>
      <w:pPr>
        <w:spacing w:after="0" w:before="240"/>
      </w:pPr>
      <w:r>
        <w:t xml:space="preserve"/>
      </w:r>
    </w:p>
    <w:p>
      <w:pPr>
        <w:pStyle w:val="Heading2"/>
        <w:spacing w:after="120" w:before="180"/>
      </w:pPr>
      <w:r>
        <w:rPr>
          <w:rFonts w:ascii="Arial" w:cs="Arial" w:eastAsia="Arial" w:hAnsi="Arial"/>
          <w:b/>
          <w:bCs/>
          <w:color w:val="C4A052"/>
          <w:sz w:val="28"/>
          <w:szCs w:val="28"/>
        </w:rPr>
        <w:t xml:space="preserve">9.4 Rate Limits</w:t>
      </w:r>
    </w:p>
    <w:p>
      <w:pPr>
        <w:spacing w:line="36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Most OSINT APIs are unrated or generous (&gt;1000 req/hour). Per-connector timeout set to 30s to prevent stalls.</w:t>
      </w:r>
    </w:p>
    <w:p>
      <w:pPr>
        <w:spacing w:after="0" w:before="80"/>
      </w:pPr>
      <w:r>
        <w:t xml:space="preserve"/>
      </w:r>
    </w:p>
    <w:p>
      <w:pPr>
        <w:pStyle w:val="ListParagraph"/>
        <w:numPr>
          <w:ilvl w:val="false"/>
          <w:numId w:val="{bullets-0}"/>
        </w:numPr>
      </w:pPr>
      <w:r>
        <w:rPr>
          <w:rFonts w:ascii="Arial" w:cs="Arial" w:eastAsia="Arial" w:hAnsi="Arial"/>
          <w:sz w:val="24"/>
          <w:szCs w:val="24"/>
        </w:rPr>
        <w:t xml:space="preserve">SEC EDGAR: Unrated (cached locally, 24h TTL)</w:t>
      </w:r>
    </w:p>
    <w:p>
      <w:pPr>
        <w:pStyle w:val="ListParagraph"/>
        <w:numPr>
          <w:ilvl w:val="false"/>
          <w:numId w:val="{bullets-0}"/>
        </w:numPr>
      </w:pPr>
      <w:r>
        <w:rPr>
          <w:rFonts w:ascii="Arial" w:cs="Arial" w:eastAsia="Arial" w:hAnsi="Arial"/>
          <w:sz w:val="24"/>
          <w:szCs w:val="24"/>
        </w:rPr>
        <w:t xml:space="preserve">SAM.gov: 10 req/sec per API key</w:t>
      </w:r>
    </w:p>
    <w:p>
      <w:pPr>
        <w:pStyle w:val="ListParagraph"/>
        <w:numPr>
          <w:ilvl w:val="false"/>
          <w:numId w:val="{bullets-0}"/>
        </w:numPr>
      </w:pPr>
      <w:r>
        <w:rPr>
          <w:rFonts w:ascii="Arial" w:cs="Arial" w:eastAsia="Arial" w:hAnsi="Arial"/>
          <w:sz w:val="24"/>
          <w:szCs w:val="24"/>
        </w:rPr>
        <w:t xml:space="preserve">GLEIF: 50 req/min</w:t>
      </w:r>
    </w:p>
    <w:p>
      <w:pPr>
        <w:pStyle w:val="ListParagraph"/>
        <w:numPr>
          <w:ilvl w:val="false"/>
          <w:numId w:val="{bullets-0}"/>
        </w:numPr>
      </w:pPr>
      <w:r>
        <w:rPr>
          <w:rFonts w:ascii="Arial" w:cs="Arial" w:eastAsia="Arial" w:hAnsi="Arial"/>
          <w:sz w:val="24"/>
          <w:szCs w:val="24"/>
        </w:rPr>
        <w:t xml:space="preserve">OpenCorporates: 100 req/min (free tier)</w:t>
      </w:r>
    </w:p>
    <w:p>
      <w:pPr>
        <w:pStyle w:val="ListParagraph"/>
        <w:numPr>
          <w:ilvl w:val="false"/>
          <w:numId w:val="{bullets-0}"/>
        </w:numPr>
      </w:pPr>
      <w:r>
        <w:rPr>
          <w:rFonts w:ascii="Arial" w:cs="Arial" w:eastAsia="Arial" w:hAnsi="Arial"/>
          <w:sz w:val="24"/>
          <w:szCs w:val="24"/>
        </w:rPr>
        <w:t xml:space="preserve">CourtListener: Unrated</w:t>
      </w:r>
    </w:p>
    <w:p>
      <w:pPr>
        <w:pStyle w:val="ListParagraph"/>
        <w:numPr>
          <w:ilvl w:val="false"/>
          <w:numId w:val="{bullets-0}"/>
        </w:numPr>
      </w:pPr>
      <w:r>
        <w:rPr>
          <w:rFonts w:ascii="Arial" w:cs="Arial" w:eastAsia="Arial" w:hAnsi="Arial"/>
          <w:sz w:val="24"/>
          <w:szCs w:val="24"/>
        </w:rPr>
        <w:t xml:space="preserve">Google News RSS: No authentication, minimal rate limits</w:t>
      </w:r>
    </w:p>
    <w:p>
      <w:r>
        <w:br w:type="page"/>
      </w:r>
    </w:p>
    <w:p>
      <w:pPr>
        <w:pStyle w:val="Heading1"/>
        <w:spacing w:after="240" w:before="240"/>
      </w:pPr>
      <w:r>
        <w:rPr>
          <w:rFonts w:ascii="Arial" w:cs="Arial" w:eastAsia="Arial" w:hAnsi="Arial"/>
          <w:b/>
          <w:bCs/>
          <w:color w:val="C4A052"/>
          <w:sz w:val="32"/>
          <w:szCs w:val="32"/>
        </w:rPr>
        <w:t xml:space="preserve">10. Operational Procedures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180"/>
      </w:pPr>
      <w:r>
        <w:rPr>
          <w:rFonts w:ascii="Arial" w:cs="Arial" w:eastAsia="Arial" w:hAnsi="Arial"/>
          <w:b/>
          <w:bCs/>
          <w:color w:val="C4A052"/>
          <w:sz w:val="28"/>
          <w:szCs w:val="28"/>
        </w:rPr>
        <w:t xml:space="preserve">10.1 Typical Workflow: New Vendor Assessment</w:t>
      </w:r>
    </w:p>
    <w:p>
      <w:pPr>
        <w:pStyle w:val="ListParagraph"/>
        <w:numPr>
          <w:ilvl w:val="false"/>
          <w:numId w:val="{numbers-0}"/>
        </w:numPr>
      </w:pPr>
      <w:r>
        <w:rPr>
          <w:rFonts w:ascii="Arial" w:cs="Arial" w:eastAsia="Arial" w:hAnsi="Arial"/>
          <w:sz w:val="24"/>
          <w:szCs w:val="24"/>
        </w:rPr>
        <w:t xml:space="preserve">User submits vendor name + program context (via UI or API)</w:t>
      </w:r>
    </w:p>
    <w:p>
      <w:pPr>
        <w:pStyle w:val="ListParagraph"/>
        <w:numPr>
          <w:ilvl w:val="false"/>
          <w:numId w:val="{numbers-0}"/>
        </w:numPr>
      </w:pPr>
      <w:r>
        <w:rPr>
          <w:rFonts w:ascii="Arial" w:cs="Arial" w:eastAsia="Arial" w:hAnsi="Arial"/>
          <w:sz w:val="24"/>
          <w:szCs w:val="24"/>
        </w:rPr>
        <w:t xml:space="preserve">Backend entity resolves name (5 sources, ~3s)</w:t>
      </w:r>
    </w:p>
    <w:p>
      <w:pPr>
        <w:pStyle w:val="ListParagraph"/>
        <w:numPr>
          <w:ilvl w:val="false"/>
          <w:numId w:val="{numbers-0}"/>
        </w:numPr>
      </w:pPr>
      <w:r>
        <w:rPr>
          <w:rFonts w:ascii="Arial" w:cs="Arial" w:eastAsia="Arial" w:hAnsi="Arial"/>
          <w:sz w:val="24"/>
          <w:szCs w:val="24"/>
        </w:rPr>
        <w:t xml:space="preserve">Backend runs OSINT enrichment (27 connectors, ~60s)</w:t>
      </w:r>
    </w:p>
    <w:p>
      <w:pPr>
        <w:pStyle w:val="ListParagraph"/>
        <w:numPr>
          <w:ilvl w:val="false"/>
          <w:numId w:val="{numbers-0}"/>
        </w:numPr>
      </w:pPr>
      <w:r>
        <w:rPr>
          <w:rFonts w:ascii="Arial" w:cs="Arial" w:eastAsia="Arial" w:hAnsi="Arial"/>
          <w:sz w:val="24"/>
          <w:szCs w:val="24"/>
        </w:rPr>
        <w:t xml:space="preserve">OSINT results augment scoring inputs (reliability weighting)</w:t>
      </w:r>
    </w:p>
    <w:p>
      <w:pPr>
        <w:pStyle w:val="ListParagraph"/>
        <w:numPr>
          <w:ilvl w:val="false"/>
          <w:numId w:val="{numbers-0}"/>
        </w:numPr>
      </w:pPr>
      <w:r>
        <w:rPr>
          <w:rFonts w:ascii="Arial" w:cs="Arial" w:eastAsia="Arial" w:hAnsi="Arial"/>
          <w:sz w:val="24"/>
          <w:szCs w:val="24"/>
        </w:rPr>
        <w:t xml:space="preserve">Regulatory gates evaluated (Layer 1: ~1s)</w:t>
      </w:r>
    </w:p>
    <w:p>
      <w:pPr>
        <w:pStyle w:val="ListParagraph"/>
        <w:numPr>
          <w:ilvl w:val="false"/>
          <w:numId w:val="{numbers-0}"/>
        </w:numPr>
      </w:pPr>
      <w:r>
        <w:rPr>
          <w:rFonts w:ascii="Arial" w:cs="Arial" w:eastAsia="Arial" w:hAnsi="Arial"/>
          <w:sz w:val="24"/>
          <w:szCs w:val="24"/>
        </w:rPr>
        <w:t xml:space="preserve">If gate FAIL → return BLOCKED status immediately</w:t>
      </w:r>
    </w:p>
    <w:p>
      <w:pPr>
        <w:pStyle w:val="ListParagraph"/>
        <w:numPr>
          <w:ilvl w:val="false"/>
          <w:numId w:val="{numbers-0}"/>
        </w:numPr>
      </w:pPr>
      <w:r>
        <w:rPr>
          <w:rFonts w:ascii="Arial" w:cs="Arial" w:eastAsia="Arial" w:hAnsi="Arial"/>
          <w:sz w:val="24"/>
          <w:szCs w:val="24"/>
        </w:rPr>
        <w:t xml:space="preserve">If gate PASS → FGAMLogit scoring (Layer 2: ~0.5s)</w:t>
      </w:r>
    </w:p>
    <w:p>
      <w:pPr>
        <w:pStyle w:val="ListParagraph"/>
        <w:numPr>
          <w:ilvl w:val="false"/>
          <w:numId w:val="{numbers-0}"/>
        </w:numPr>
      </w:pPr>
      <w:r>
        <w:rPr>
          <w:rFonts w:ascii="Arial" w:cs="Arial" w:eastAsia="Arial" w:hAnsi="Arial"/>
          <w:sz w:val="24"/>
          <w:szCs w:val="24"/>
        </w:rPr>
        <w:t xml:space="preserve">Score + confidence intervals + provenance persisted to SQLite</w:t>
      </w:r>
    </w:p>
    <w:p>
      <w:pPr>
        <w:pStyle w:val="ListParagraph"/>
        <w:numPr>
          <w:ilvl w:val="false"/>
          <w:numId w:val="{numbers-0}"/>
        </w:numPr>
      </w:pPr>
      <w:r>
        <w:rPr>
          <w:rFonts w:ascii="Arial" w:cs="Arial" w:eastAsia="Arial" w:hAnsi="Arial"/>
          <w:sz w:val="24"/>
          <w:szCs w:val="24"/>
        </w:rPr>
        <w:t xml:space="preserve">Result returned to user (HTML dossier or JSON)</w:t>
      </w:r>
    </w:p>
    <w:p>
      <w:pPr>
        <w:spacing w:after="0" w:before="240"/>
      </w:pPr>
      <w:r>
        <w:t xml:space="preserve"/>
      </w:r>
    </w:p>
    <w:p>
      <w:pPr>
        <w:pStyle w:val="Heading2"/>
        <w:spacing w:after="120" w:before="180"/>
      </w:pPr>
      <w:r>
        <w:rPr>
          <w:rFonts w:ascii="Arial" w:cs="Arial" w:eastAsia="Arial" w:hAnsi="Arial"/>
          <w:b/>
          <w:bCs/>
          <w:color w:val="C4A052"/>
          <w:sz w:val="28"/>
          <w:szCs w:val="28"/>
        </w:rPr>
        <w:t xml:space="preserve">10.2 Troubleshooting OSINT Enrichment</w:t>
      </w:r>
    </w:p>
    <w:p>
      <w:pPr>
        <w:pStyle w:val="Heading3"/>
        <w:spacing w:after="8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Enrichment times out (&gt;60s)</w:t>
      </w:r>
    </w:p>
    <w:p>
      <w:pPr>
        <w:pStyle w:val="ListParagraph"/>
        <w:numPr>
          <w:ilvl w:val="false"/>
          <w:numId w:val="{bullets-0}"/>
        </w:numPr>
      </w:pPr>
      <w:r>
        <w:rPr>
          <w:rFonts w:ascii="Arial" w:cs="Arial" w:eastAsia="Arial" w:hAnsi="Arial"/>
          <w:sz w:val="24"/>
          <w:szCs w:val="24"/>
        </w:rPr>
        <w:t xml:space="preserve">Check docker logs for per-connector failures</w:t>
      </w:r>
    </w:p>
    <w:p>
      <w:pPr>
        <w:pStyle w:val="ListParagraph"/>
        <w:numPr>
          <w:ilvl w:val="false"/>
          <w:numId w:val="{bullets-0}"/>
        </w:numPr>
      </w:pPr>
      <w:r>
        <w:rPr>
          <w:rFonts w:ascii="Arial" w:cs="Arial" w:eastAsia="Arial" w:hAnsi="Arial"/>
          <w:sz w:val="24"/>
          <w:szCs w:val="24"/>
        </w:rPr>
        <w:t xml:space="preserve">SAM.gov API key valid? Check /api/health</w:t>
      </w:r>
    </w:p>
    <w:p>
      <w:pPr>
        <w:pStyle w:val="ListParagraph"/>
        <w:numPr>
          <w:ilvl w:val="false"/>
          <w:numId w:val="{bullets-0}"/>
        </w:numPr>
      </w:pPr>
      <w:r>
        <w:rPr>
          <w:rFonts w:ascii="Arial" w:cs="Arial" w:eastAsia="Arial" w:hAnsi="Arial"/>
          <w:sz w:val="24"/>
          <w:szCs w:val="24"/>
        </w:rPr>
        <w:t xml:space="preserve">Vendor name too ambiguous? Try entity resolution first to get definitive name</w:t>
      </w:r>
    </w:p>
    <w:p>
      <w:pPr>
        <w:spacing w:after="0" w:before="120"/>
      </w:pPr>
      <w:r>
        <w:t xml:space="preserve"/>
      </w:r>
    </w:p>
    <w:p>
      <w:pPr>
        <w:pStyle w:val="Heading3"/>
        <w:spacing w:after="8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Missing identifiers (LEI, CAGE, UEI)</w:t>
      </w:r>
    </w:p>
    <w:p>
      <w:pPr>
        <w:pStyle w:val="ListParagraph"/>
        <w:numPr>
          <w:ilvl w:val="false"/>
          <w:numId w:val="{bullets-0}"/>
        </w:numPr>
      </w:pPr>
      <w:r>
        <w:rPr>
          <w:rFonts w:ascii="Arial" w:cs="Arial" w:eastAsia="Arial" w:hAnsi="Arial"/>
          <w:sz w:val="24"/>
          <w:szCs w:val="24"/>
        </w:rPr>
        <w:t xml:space="preserve">Entity may not be registered in SAM.gov or GLEIF</w:t>
      </w:r>
    </w:p>
    <w:p>
      <w:pPr>
        <w:pStyle w:val="ListParagraph"/>
        <w:numPr>
          <w:ilvl w:val="false"/>
          <w:numId w:val="{bullets-0}"/>
        </w:numPr>
      </w:pPr>
      <w:r>
        <w:rPr>
          <w:rFonts w:ascii="Arial" w:cs="Arial" w:eastAsia="Arial" w:hAnsi="Arial"/>
          <w:sz w:val="24"/>
          <w:szCs w:val="24"/>
        </w:rPr>
        <w:t xml:space="preserve">Check OpenCorporates or SEC EDGAR results (may have company number or CIK instead)</w:t>
      </w:r>
    </w:p>
    <w:p>
      <w:pPr>
        <w:pStyle w:val="ListParagraph"/>
        <w:numPr>
          <w:ilvl w:val="false"/>
          <w:numId w:val="{bullets-0}"/>
        </w:numPr>
      </w:pPr>
      <w:r>
        <w:rPr>
          <w:rFonts w:ascii="Arial" w:cs="Arial" w:eastAsia="Arial" w:hAnsi="Arial"/>
          <w:sz w:val="24"/>
          <w:szCs w:val="24"/>
        </w:rPr>
        <w:t xml:space="preserve">Scoring still valid—data quality factor adjusted down, confidence interval widens</w:t>
      </w:r>
    </w:p>
    <w:p>
      <w:pPr>
        <w:spacing w:after="0" w:before="120"/>
      </w:pPr>
      <w:r>
        <w:t xml:space="preserve"/>
      </w:r>
    </w:p>
    <w:p>
      <w:pPr>
        <w:pStyle w:val="Heading3"/>
        <w:spacing w:after="8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Hard stop triggered unexpectedly</w:t>
      </w:r>
    </w:p>
    <w:p>
      <w:pPr>
        <w:pStyle w:val="ListParagraph"/>
        <w:numPr>
          <w:ilvl w:val="false"/>
          <w:numId w:val="{bullets-0}"/>
        </w:numPr>
      </w:pPr>
      <w:r>
        <w:rPr>
          <w:rFonts w:ascii="Arial" w:cs="Arial" w:eastAsia="Arial" w:hAnsi="Arial"/>
          <w:sz w:val="24"/>
          <w:szCs w:val="24"/>
        </w:rPr>
        <w:t xml:space="preserve">Review /api/cases/{id}/enrichment findings with severity=critical/high</w:t>
      </w:r>
    </w:p>
    <w:p>
      <w:pPr>
        <w:pStyle w:val="ListParagraph"/>
        <w:numPr>
          <w:ilvl w:val="false"/>
          <w:numId w:val="{bullets-0}"/>
        </w:numPr>
      </w:pPr>
      <w:r>
        <w:rPr>
          <w:rFonts w:ascii="Arial" w:cs="Arial" w:eastAsia="Arial" w:hAnsi="Arial"/>
          <w:sz w:val="24"/>
          <w:szCs w:val="24"/>
        </w:rPr>
        <w:t xml:space="preserve">Check source reliability: if &lt;0.80, finding may be unreliable</w:t>
      </w:r>
    </w:p>
    <w:p>
      <w:pPr>
        <w:pStyle w:val="ListParagraph"/>
        <w:numPr>
          <w:ilvl w:val="false"/>
          <w:numId w:val="{bullets-0}"/>
        </w:numPr>
      </w:pPr>
      <w:r>
        <w:rPr>
          <w:rFonts w:ascii="Arial" w:cs="Arial" w:eastAsia="Arial" w:hAnsi="Arial"/>
          <w:sz w:val="24"/>
          <w:szCs w:val="24"/>
        </w:rPr>
        <w:t xml:space="preserve">Can be manually overridden by auditor (creates audit trail entry)</w:t>
      </w:r>
    </w:p>
    <w:p>
      <w:pPr>
        <w:spacing w:after="0" w:before="240"/>
      </w:pPr>
      <w:r>
        <w:t xml:space="preserve"/>
      </w:r>
    </w:p>
    <w:p>
      <w:pPr>
        <w:pStyle w:val="Heading2"/>
        <w:spacing w:after="120" w:before="180"/>
      </w:pPr>
      <w:r>
        <w:rPr>
          <w:rFonts w:ascii="Arial" w:cs="Arial" w:eastAsia="Arial" w:hAnsi="Arial"/>
          <w:b/>
          <w:bCs/>
          <w:color w:val="C4A052"/>
          <w:sz w:val="28"/>
          <w:szCs w:val="28"/>
        </w:rPr>
        <w:t xml:space="preserve">10.3 Audit &amp; Compliance</w:t>
      </w:r>
    </w:p>
    <w:p>
      <w:pPr>
        <w:pStyle w:val="ListParagraph"/>
        <w:numPr>
          <w:ilvl w:val="false"/>
          <w:numId w:val="{bullets-0}"/>
        </w:numPr>
      </w:pPr>
      <w:r>
        <w:rPr>
          <w:rFonts w:ascii="Arial" w:cs="Arial" w:eastAsia="Arial" w:hAnsi="Arial"/>
          <w:sz w:val="24"/>
          <w:szCs w:val="24"/>
        </w:rPr>
        <w:t xml:space="preserve">All scoring runs are logged to /api/audit with user, timestamp, case_id, action</w:t>
      </w:r>
    </w:p>
    <w:p>
      <w:pPr>
        <w:pStyle w:val="ListParagraph"/>
        <w:numPr>
          <w:ilvl w:val="false"/>
          <w:numId w:val="{bullets-0}"/>
        </w:numPr>
      </w:pPr>
      <w:r>
        <w:rPr>
          <w:rFonts w:ascii="Arial" w:cs="Arial" w:eastAsia="Arial" w:hAnsi="Arial"/>
          <w:sz w:val="24"/>
          <w:szCs w:val="24"/>
        </w:rPr>
        <w:t xml:space="preserve">Score changes tracked: old_score → new_score with reason (re-enrichment, gate change, etc.)</w:t>
      </w:r>
    </w:p>
    <w:p>
      <w:pPr>
        <w:pStyle w:val="ListParagraph"/>
        <w:numPr>
          <w:ilvl w:val="false"/>
          <w:numId w:val="{bullets-0}"/>
        </w:numPr>
      </w:pPr>
      <w:r>
        <w:rPr>
          <w:rFonts w:ascii="Arial" w:cs="Arial" w:eastAsia="Arial" w:hAnsi="Arial"/>
          <w:sz w:val="24"/>
          <w:szCs w:val="24"/>
        </w:rPr>
        <w:t xml:space="preserve">Dossier generation is auditable: can reproduce exact findings + calculation for any score</w:t>
      </w:r>
    </w:p>
    <w:p>
      <w:pPr>
        <w:pStyle w:val="ListParagraph"/>
        <w:numPr>
          <w:ilvl w:val="false"/>
          <w:numId w:val="{bullets-0}"/>
        </w:numPr>
      </w:pPr>
      <w:r>
        <w:rPr>
          <w:rFonts w:ascii="Arial" w:cs="Arial" w:eastAsia="Arial" w:hAnsi="Arial"/>
          <w:sz w:val="24"/>
          <w:szCs w:val="24"/>
        </w:rPr>
        <w:t xml:space="preserve">OFAC screening results retained per OFAC reporting requirements</w:t>
      </w:r>
    </w:p>
    <w:p>
      <w:pPr>
        <w:spacing w:after="0" w:before="240"/>
      </w:pPr>
      <w:r>
        <w:t xml:space="preserve"/>
      </w:r>
    </w:p>
    <w:p>
      <w:pPr>
        <w:pStyle w:val="Heading2"/>
        <w:spacing w:after="120" w:before="180"/>
      </w:pPr>
      <w:r>
        <w:rPr>
          <w:rFonts w:ascii="Arial" w:cs="Arial" w:eastAsia="Arial" w:hAnsi="Arial"/>
          <w:b/>
          <w:bCs/>
          <w:color w:val="C4A052"/>
          <w:sz w:val="28"/>
          <w:szCs w:val="28"/>
        </w:rPr>
        <w:t xml:space="preserve">10.4 Batch Operations</w:t>
      </w:r>
    </w:p>
    <w:p>
      <w:pPr>
        <w:pStyle w:val="ListParagraph"/>
        <w:numPr>
          <w:ilvl w:val="false"/>
          <w:numId w:val="{bullets-0}"/>
        </w:numPr>
      </w:pPr>
      <w:r>
        <w:t>Contract vehicle search: query USAspending, then bulk resolve + score draft cases; full enrichment remains a per-case action</w:t>
      </w:r>
    </w:p>
    <w:p>
      <w:pPr>
        <w:pStyle w:val="ListParagraph"/>
        <w:numPr>
          <w:ilvl w:val="false"/>
          <w:numId w:val="{bullets-0}"/>
        </w:numPr>
      </w:pPr>
      <w:r>
        <w:rPr>
          <w:rFonts w:ascii="Arial" w:cs="Arial" w:eastAsia="Arial" w:hAnsi="Arial"/>
          <w:sz w:val="24"/>
          <w:szCs w:val="24"/>
        </w:rPr>
        <w:t xml:space="preserve">Periodic re-assessment: cron job to re-enrich all vendors weekly (catch new sanctions, exclusions)</w:t>
      </w:r>
    </w:p>
    <w:p>
      <w:pPr>
        <w:pStyle w:val="ListParagraph"/>
        <w:numPr>
          <w:ilvl w:val="false"/>
          <w:numId w:val="{bullets-0}"/>
        </w:numPr>
      </w:pPr>
      <w:r>
        <w:rPr>
          <w:rFonts w:ascii="Arial" w:cs="Arial" w:eastAsia="Arial" w:hAnsi="Arial"/>
          <w:sz w:val="24"/>
          <w:szCs w:val="24"/>
        </w:rPr>
        <w:t xml:space="preserve">Data export: CSV dump of all cases with score + hard_stop flag</w:t>
      </w:r>
    </w:p>
    <w:p>
      <w:r>
        <w:br w:type="page"/>
      </w:r>
    </w:p>
    <w:p>
      <w:pPr>
        <w:pStyle w:val="Heading1"/>
        <w:spacing w:after="240" w:before="240"/>
      </w:pPr>
      <w:r>
        <w:rPr>
          <w:rFonts w:ascii="Arial" w:cs="Arial" w:eastAsia="Arial" w:hAnsi="Arial"/>
          <w:b/>
          <w:bCs/>
          <w:color w:val="C4A052"/>
          <w:sz w:val="32"/>
          <w:szCs w:val="32"/>
        </w:rPr>
        <w:t xml:space="preserve">11. Appendix: Technical Details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180"/>
      </w:pPr>
      <w:r>
        <w:rPr>
          <w:rFonts w:ascii="Arial" w:cs="Arial" w:eastAsia="Arial" w:hAnsi="Arial"/>
          <w:b/>
          <w:bCs/>
          <w:color w:val="C4A052"/>
          <w:sz w:val="28"/>
          <w:szCs w:val="28"/>
        </w:rPr>
        <w:t xml:space="preserve">11.1 FGAMLogit Interaction Terms</w:t>
      </w:r>
    </w:p>
    <w:p>
      <w:pPr>
        <w:spacing w:line="36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Selected two-way interaction terms capture synergistic risk combinations:</w:t>
      </w:r>
    </w:p>
    <w:p>
      <w:pPr>
        <w:spacing w:after="0" w:before="80"/>
      </w:pPr>
      <w:r>
        <w:t xml:space="preserve"/>
      </w:r>
    </w:p>
    <w:p>
      <w:pPr>
        <w:pStyle w:val="ListParagraph"/>
        <w:numPr>
          <w:ilvl w:val="false"/>
          <w:numId w:val="{bullets-0}"/>
        </w:numPr>
      </w:pPr>
      <w:r>
        <w:rPr>
          <w:rFonts w:ascii="Arial" w:cs="Arial" w:eastAsia="Arial" w:hAnsi="Arial"/>
          <w:sz w:val="24"/>
          <w:szCs w:val="24"/>
        </w:rPr>
        <w:t xml:space="preserve">Ownership × Sanctions: High ownership opacity + sanctions match = multiplied risk</w:t>
      </w:r>
    </w:p>
    <w:p>
      <w:pPr>
        <w:pStyle w:val="ListParagraph"/>
        <w:numPr>
          <w:ilvl w:val="false"/>
          <w:numId w:val="{bullets-0}"/>
        </w:numPr>
      </w:pPr>
      <w:r>
        <w:rPr>
          <w:rFonts w:ascii="Arial" w:cs="Arial" w:eastAsia="Arial" w:hAnsi="Arial"/>
          <w:sz w:val="24"/>
          <w:szCs w:val="24"/>
        </w:rPr>
        <w:t xml:space="preserve">Executive × Geographic: PEP connections + supply chain in sanctioned jurisdiction = red flag</w:t>
      </w:r>
    </w:p>
    <w:p>
      <w:pPr>
        <w:pStyle w:val="ListParagraph"/>
        <w:numPr>
          <w:ilvl w:val="false"/>
          <w:numId w:val="{bullets-0}"/>
        </w:numPr>
      </w:pPr>
      <w:r>
        <w:rPr>
          <w:rFonts w:ascii="Arial" w:cs="Arial" w:eastAsia="Arial" w:hAnsi="Arial"/>
          <w:sz w:val="24"/>
          <w:szCs w:val="24"/>
        </w:rPr>
        <w:t xml:space="preserve">Data Quality × CMMC: Missing identifiers + no CMMC certification = compliance gap</w:t>
      </w:r>
    </w:p>
    <w:p>
      <w:pPr>
        <w:spacing w:after="0" w:before="240"/>
      </w:pPr>
      <w:r>
        <w:t xml:space="preserve"/>
      </w:r>
    </w:p>
    <w:p>
      <w:pPr>
        <w:pStyle w:val="Heading2"/>
        <w:spacing w:after="120" w:before="180"/>
      </w:pPr>
      <w:r>
        <w:rPr>
          <w:rFonts w:ascii="Arial" w:cs="Arial" w:eastAsia="Arial" w:hAnsi="Arial"/>
          <w:b/>
          <w:bCs/>
          <w:color w:val="C4A052"/>
          <w:sz w:val="28"/>
          <w:szCs w:val="28"/>
        </w:rPr>
        <w:t xml:space="preserve">11.2 Confidence Interval Formula (Wilson)</w:t>
      </w:r>
    </w:p>
    <w:p>
      <w:pPr>
        <w:spacing w:line="36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For each score S with source reliability R and sensitivity tier T:</w:t>
      </w:r>
    </w:p>
    <w:p>
      <w:pPr>
        <w:spacing w:after="0" w:before="80"/>
      </w:pPr>
      <w:r>
        <w:t xml:space="preserve"/>
      </w:r>
    </w:p>
    <w:p>
      <w:pPr>
        <w:pStyle w:val="ListParagraph"/>
        <w:numPr>
          <w:ilvl w:val="false"/>
          <w:numId w:val="{bullets-0}"/>
        </w:numPr>
      </w:pPr>
      <w:r>
        <w:rPr>
          <w:rFonts w:ascii="Arial" w:cs="Arial" w:eastAsia="Arial" w:hAnsi="Arial"/>
          <w:sz w:val="24"/>
          <w:szCs w:val="24"/>
        </w:rPr>
        <w:t xml:space="preserve">Base CI width: ±4 percentage points (90% confidence)</w:t>
      </w:r>
    </w:p>
    <w:p>
      <w:pPr>
        <w:pStyle w:val="ListParagraph"/>
        <w:numPr>
          <w:ilvl w:val="false"/>
          <w:numId w:val="{bullets-0}"/>
        </w:numPr>
      </w:pPr>
      <w:r>
        <w:rPr>
          <w:rFonts w:ascii="Arial" w:cs="Arial" w:eastAsia="Arial" w:hAnsi="Arial"/>
          <w:sz w:val="24"/>
          <w:szCs w:val="24"/>
        </w:rPr>
        <w:t xml:space="preserve">Adjusted width: ±4 × (1 − 0.2 × min(R, 0.95)) × (T_multiplier)</w:t>
      </w:r>
    </w:p>
    <w:p>
      <w:pPr>
        <w:pStyle w:val="ListParagraph"/>
        <w:numPr>
          <w:ilvl w:val="false"/>
          <w:numId w:val="{bullets-0}"/>
        </w:numPr>
      </w:pPr>
      <w:r>
        <w:rPr>
          <w:rFonts w:ascii="Arial" w:cs="Arial" w:eastAsia="Arial" w:hAnsi="Arial"/>
          <w:sz w:val="24"/>
          <w:szCs w:val="24"/>
        </w:rPr>
        <w:t xml:space="preserve">High-reliability sources (R≥0.80) narrow CI slightly</w:t>
      </w:r>
    </w:p>
    <w:p>
      <w:pPr>
        <w:pStyle w:val="ListParagraph"/>
        <w:numPr>
          <w:ilvl w:val="false"/>
          <w:numId w:val="{bullets-0}"/>
        </w:numPr>
      </w:pPr>
      <w:r>
        <w:rPr>
          <w:rFonts w:ascii="Arial" w:cs="Arial" w:eastAsia="Arial" w:hAnsi="Arial"/>
          <w:sz w:val="24"/>
          <w:szCs w:val="24"/>
        </w:rPr>
        <w:t xml:space="preserve">SAP tiers widen CI (more caution), commercial tiers narrow CI (more confidence)</w:t>
      </w:r>
    </w:p>
    <w:p>
      <w:pPr>
        <w:spacing w:after="0" w:before="240"/>
      </w:pPr>
      <w:r>
        <w:t xml:space="preserve"/>
      </w:r>
    </w:p>
    <w:p>
      <w:pPr>
        <w:pStyle w:val="Heading2"/>
        <w:spacing w:after="120" w:before="180"/>
      </w:pPr>
      <w:r>
        <w:rPr>
          <w:rFonts w:ascii="Arial" w:cs="Arial" w:eastAsia="Arial" w:hAnsi="Arial"/>
          <w:b/>
          <w:bCs/>
          <w:color w:val="C4A052"/>
          <w:sz w:val="28"/>
          <w:szCs w:val="28"/>
        </w:rPr>
        <w:t xml:space="preserve">11.3 OSINT Reliability Gating</w:t>
      </w:r>
    </w:p>
    <w:p>
      <w:pPr>
        <w:spacing w:line="36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Signals from low-reliability sources (&lt;0.80) cannot autonomously trigger hard stops:</w:t>
      </w:r>
    </w:p>
    <w:p>
      <w:pPr>
        <w:spacing w:after="0" w:before="80"/>
      </w:pPr>
      <w:r>
        <w:t xml:space="preserve"/>
      </w:r>
    </w:p>
    <w:p>
      <w:pPr>
        <w:pStyle w:val="ListParagraph"/>
        <w:numPr>
          <w:ilvl w:val="false"/>
          <w:numId w:val="{bullets-0}"/>
        </w:numPr>
      </w:pPr>
      <w:r>
        <w:rPr>
          <w:rFonts w:ascii="Arial" w:cs="Arial" w:eastAsia="Arial" w:hAnsi="Arial"/>
          <w:sz w:val="24"/>
          <w:szCs w:val="24"/>
        </w:rPr>
        <w:t xml:space="preserve">GDELT media mention (R=0.50) of sanctions: downgraded to ownership_risk_increase</w:t>
      </w:r>
    </w:p>
    <w:p>
      <w:pPr>
        <w:pStyle w:val="ListParagraph"/>
        <w:numPr>
          <w:ilvl w:val="false"/>
          <w:numId w:val="{bullets-0}"/>
        </w:numPr>
      </w:pPr>
      <w:r>
        <w:rPr>
          <w:rFonts w:ascii="Arial" w:cs="Arial" w:eastAsia="Arial" w:hAnsi="Arial"/>
          <w:sz w:val="24"/>
          <w:szCs w:val="24"/>
        </w:rPr>
        <w:t xml:space="preserve">Google News (R=0.45) alleges foreign control: downgraded to data_quality_concern</w:t>
      </w:r>
    </w:p>
    <w:p>
      <w:pPr>
        <w:pStyle w:val="ListParagraph"/>
        <w:numPr>
          <w:ilvl w:val="false"/>
          <w:numId w:val="{bullets-0}"/>
        </w:numPr>
      </w:pPr>
      <w:r>
        <w:rPr>
          <w:rFonts w:ascii="Arial" w:cs="Arial" w:eastAsia="Arial" w:hAnsi="Arial"/>
          <w:sz w:val="24"/>
          <w:szCs w:val="24"/>
        </w:rPr>
        <w:t xml:space="preserve">UN Sanctions direct match (R=0.95): triggers hard stop immediately</w:t>
      </w:r>
    </w:p>
    <w:p>
      <w:pPr>
        <w:spacing w:after="0" w:before="240"/>
      </w:pPr>
      <w:r>
        <w:t xml:space="preserve"/>
      </w:r>
    </w:p>
    <w:p>
      <w:pPr>
        <w:pStyle w:val="Heading2"/>
        <w:spacing w:after="120" w:before="180"/>
      </w:pPr>
      <w:r>
        <w:rPr>
          <w:rFonts w:ascii="Arial" w:cs="Arial" w:eastAsia="Arial" w:hAnsi="Arial"/>
          <w:b/>
          <w:bCs/>
          <w:color w:val="C4A052"/>
          <w:sz w:val="28"/>
          <w:szCs w:val="28"/>
        </w:rPr>
        <w:t xml:space="preserve">11.4 Sensitivity Tier Selection</w:t>
      </w:r>
    </w:p>
    <w:p>
      <w:pPr>
        <w:spacing w:line="36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Tier is determined at intake by user selection of program context:</w:t>
      </w:r>
    </w:p>
    <w:p>
      <w:pPr>
        <w:spacing w:after="0" w:before="80"/>
      </w:pPr>
      <w:r>
        <w:t xml:space="preserve"/>
      </w:r>
    </w:p>
    <w:p>
      <w:pPr>
        <w:pStyle w:val="ListParagraph"/>
        <w:numPr>
          <w:ilvl w:val="false"/>
          <w:numId w:val="{bullets-0}"/>
        </w:numPr>
      </w:pPr>
      <w:r>
        <w:rPr>
          <w:rFonts w:ascii="Arial" w:cs="Arial" w:eastAsia="Arial" w:hAnsi="Arial"/>
          <w:sz w:val="24"/>
          <w:szCs w:val="24"/>
        </w:rPr>
        <w:t xml:space="preserve">T0: User selects "SAP" → weights increase, baseline lowered</w:t>
      </w:r>
    </w:p>
    <w:p>
      <w:pPr>
        <w:pStyle w:val="ListParagraph"/>
        <w:numPr>
          <w:ilvl w:val="false"/>
          <w:numId w:val="{bullets-0}"/>
        </w:numPr>
      </w:pPr>
      <w:r>
        <w:rPr>
          <w:rFonts w:ascii="Arial" w:cs="Arial" w:eastAsia="Arial" w:hAnsi="Arial"/>
          <w:sz w:val="24"/>
          <w:szCs w:val="24"/>
        </w:rPr>
        <w:t xml:space="preserve">T3: User selects "CUI handling" → balanced weights</w:t>
      </w:r>
    </w:p>
    <w:p>
      <w:pPr>
        <w:pStyle w:val="ListParagraph"/>
        <w:numPr>
          <w:ilvl w:val="false"/>
          <w:numId w:val="{bullets-0}"/>
        </w:numPr>
      </w:pPr>
      <w:r>
        <w:rPr>
          <w:rFonts w:ascii="Arial" w:cs="Arial" w:eastAsia="Arial" w:hAnsi="Arial"/>
          <w:sz w:val="24"/>
          <w:szCs w:val="24"/>
        </w:rPr>
        <w:t xml:space="preserve">T6: User selects "commercial" → weights decrease, baseline raised (approval more likely)</w:t>
      </w:r>
    </w:p>
    <w:p>
      <w:pPr>
        <w:spacing w:after="0" w:before="120"/>
      </w:pPr>
      <w:r>
        <w:t xml:space="preserve"/>
      </w:r>
    </w:p>
    <w:p>
      <w:pPr>
        <w:spacing w:line="36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Multiplier affects ALL factor weights and baseline bias uniformly.</w:t>
      </w:r>
    </w:p>
    <w:p>
      <w:pPr>
        <w:spacing w:after="0" w:before="240"/>
      </w:pPr>
      <w:r>
        <w:t xml:space="preserve"/>
      </w:r>
    </w:p>
    <w:p>
      <w:pPr>
        <w:pStyle w:val="Heading2"/>
        <w:spacing w:after="120" w:before="180"/>
      </w:pPr>
      <w:r>
        <w:rPr>
          <w:rFonts w:ascii="Arial" w:cs="Arial" w:eastAsia="Arial" w:hAnsi="Arial"/>
          <w:b/>
          <w:bCs/>
          <w:color w:val="C4A052"/>
          <w:sz w:val="28"/>
          <w:szCs w:val="28"/>
        </w:rPr>
        <w:t xml:space="preserve">11.5 Provenance Tracking Example</w:t>
      </w:r>
    </w:p>
    <w:p>
      <w:pPr>
        <w:spacing w:line="36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For a vendor with composite score 68 (TIER_2_CONDITIONAL):</w:t>
      </w:r>
    </w:p>
    <w:p>
      <w:pPr>
        <w:spacing w:after="0" w:before="80"/>
      </w:pPr>
      <w:r>
        <w:t xml:space="preserve"/>
      </w:r>
    </w:p>
    <w:p>
      <w:pPr>
        <w:pStyle w:val="ListParagraph"/>
        <w:numPr>
          <w:ilvl w:val="false"/>
          <w:numId w:val="{bullets-0}"/>
        </w:numPr>
      </w:pPr>
      <w:r>
        <w:rPr>
          <w:rFonts w:ascii="Arial" w:cs="Arial" w:eastAsia="Arial" w:hAnsi="Arial"/>
          <w:sz w:val="24"/>
          <w:szCs w:val="24"/>
        </w:rPr>
        <w:t xml:space="preserve">provenance['sanctions'] = [{source: 'trade_csl', detail: 'No CSL match', reliability: 0.95}]</w:t>
      </w:r>
    </w:p>
    <w:p>
      <w:pPr>
        <w:pStyle w:val="ListParagraph"/>
        <w:numPr>
          <w:ilvl w:val="false"/>
          <w:numId w:val="{bullets-0}"/>
        </w:numPr>
      </w:pPr>
      <w:r>
        <w:rPr>
          <w:rFonts w:ascii="Arial" w:cs="Arial" w:eastAsia="Arial" w:hAnsi="Arial"/>
          <w:sz w:val="24"/>
          <w:szCs w:val="24"/>
        </w:rPr>
        <w:t xml:space="preserve">provenance['ownership'] = [{source: 'sec_edgar', detail: 'Public company, 10-K filed 2025', reliability: 0.85}, {source: 'gleif_lei', detail: 'LEI active', reliability: 0.85}]</w:t>
      </w:r>
    </w:p>
    <w:p>
      <w:pPr>
        <w:pStyle w:val="ListParagraph"/>
        <w:numPr>
          <w:ilvl w:val="false"/>
          <w:numId w:val="{bullets-0}"/>
        </w:numPr>
      </w:pPr>
      <w:r>
        <w:rPr>
          <w:rFonts w:ascii="Arial" w:cs="Arial" w:eastAsia="Arial" w:hAnsi="Arial"/>
          <w:sz w:val="24"/>
          <w:szCs w:val="24"/>
        </w:rPr>
        <w:t xml:space="preserve">provenance['data_quality'] = [{source: 'sam_gov', detail: 'CAGE verified, CMMC L2 certified', reliability: 0.95}]</w:t>
      </w:r>
    </w:p>
    <w:p>
      <w:pPr>
        <w:spacing w:after="0" w:before="120"/>
      </w:pPr>
      <w:r>
        <w:t xml:space="preserve"/>
      </w:r>
    </w:p>
    <w:p>
      <w:pPr>
        <w:spacing w:line="36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Auditor can trace score back to each data source, enabling regulatory audit trail.</w:t>
      </w:r>
    </w:p>
    <w:p>
      <w:pPr>
        <w:spacing w:after="0" w:before="240"/>
      </w:pPr>
      <w:r>
        <w:t xml:space="preserve"/>
      </w:r>
    </w:p>
    <w:p>
      <w:pPr>
        <w:pStyle w:val="Heading2"/>
        <w:spacing w:after="120" w:before="180"/>
      </w:pPr>
      <w:r>
        <w:rPr>
          <w:rFonts w:ascii="Arial" w:cs="Arial" w:eastAsia="Arial" w:hAnsi="Arial"/>
          <w:b/>
          <w:bCs/>
          <w:color w:val="C4A052"/>
          <w:sz w:val="28"/>
          <w:szCs w:val="28"/>
        </w:rPr>
        <w:t xml:space="preserve">11.6 Allied Nations List</w:t>
      </w:r>
    </w:p>
    <w:p>
      <w:pPr>
        <w:spacing w:line="36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Foreign ownership is evaluated differently if owner is in ALLIED_NATIONS:</w:t>
      </w:r>
    </w:p>
    <w:p>
      <w:pPr>
        <w:spacing w:after="0" w:before="80"/>
      </w:pPr>
      <w:r>
        <w:t xml:space="preserve"/>
      </w:r>
    </w:p>
    <w:p>
      <w:pPr>
        <w:pStyle w:val="ListParagraph"/>
        <w:numPr>
          <w:ilvl w:val="false"/>
          <w:numId w:val="{bullets-0}"/>
        </w:numPr>
      </w:pPr>
      <w:r>
        <w:rPr>
          <w:rFonts w:ascii="Arial" w:cs="Arial" w:eastAsia="Arial" w:hAnsi="Arial"/>
          <w:sz w:val="24"/>
          <w:szCs w:val="24"/>
        </w:rPr>
        <w:t xml:space="preserve">Allied: US, UK, CA, AU, NZ, FR, DE, IT, NL, NO, SE, FI, BE, DK, etc.</w:t>
      </w:r>
    </w:p>
    <w:p>
      <w:pPr>
        <w:pStyle w:val="ListParagraph"/>
        <w:numPr>
          <w:ilvl w:val="false"/>
          <w:numId w:val="{bullets-0}"/>
        </w:numPr>
      </w:pPr>
      <w:r>
        <w:rPr>
          <w:rFonts w:ascii="Arial" w:cs="Arial" w:eastAsia="Arial" w:hAnsi="Arial"/>
          <w:sz w:val="24"/>
          <w:szCs w:val="24"/>
        </w:rPr>
        <w:t xml:space="preserve">Non-allied: All others (heightened scrutiny, CFIUS review may apply)</w:t>
      </w:r>
    </w:p>
    <w:p>
      <w:r>
        <w:br w:type="page"/>
      </w:r>
    </w:p>
    <w:p>
      <w:pPr>
        <w:pStyle w:val="Heading1"/>
        <w:spacing w:after="240" w:before="240"/>
      </w:pPr>
      <w:r>
        <w:rPr>
          <w:rFonts w:ascii="Arial" w:cs="Arial" w:eastAsia="Arial" w:hAnsi="Arial"/>
          <w:b/>
          <w:bCs/>
          <w:color w:val="C4A052"/>
          <w:sz w:val="32"/>
          <w:szCs w:val="32"/>
        </w:rPr>
        <w:t xml:space="preserve">12. Conclusion</w:t>
      </w:r>
    </w:p>
    <w:p>
      <w:pPr>
        <w:spacing w:line="36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The Xiphos Helios Platform delivers rapid, auditable vendor vetting for DoD supply chain risk management. Its two-layer architecture (regulatory gates + FGAMLogit scoring) provides both categorical compliance and nuanced risk assessment. Powered by 27 OSINT connectors and multi-source entity resolution, Helios enables procurement teams to make defensible vendor decisions in minutes, not weeks.</w:t>
      </w:r>
    </w:p>
    <w:p>
      <w:pPr>
        <w:spacing w:after="0" w:before="240"/>
      </w:pPr>
      <w:r>
        <w:t xml:space="preserve"/>
      </w:r>
    </w:p>
    <w:p>
      <w:pPr>
        <w:spacing w:line="36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For detailed API usage, deployment guides, or support, contact the Xiphos Platform team.</w:t>
      </w:r>
    </w:p>
    <w:p>
      <w:pPr>
        <w:spacing w:after="0" w:before="24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sz w:val="24"/>
          <w:szCs w:val="24"/>
        </w:rPr>
        <w:t xml:space="preserve">End of Technical Manual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240"/>
      <w:outlineLvl w:val="0"/>
    </w:pPr>
    <w:rPr>
      <w:rFonts w:ascii="Arial" w:cs="Arial" w:eastAsia="Arial" w:hAnsi="Arial"/>
      <w:b/>
      <w:bCs/>
      <w:color w:val="C4A052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180"/>
      <w:outlineLvl w:val="1"/>
    </w:pPr>
    <w:rPr>
      <w:rFonts w:ascii="Arial" w:cs="Arial" w:eastAsia="Arial" w:hAnsi="Arial"/>
      <w:b/>
      <w:bCs/>
      <w:color w:val="C4A052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12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2026-03-18T18:44:39.338Z</dcterms:created>
  <dcterms:modified xsi:type="dcterms:W3CDTF">2026-03-18T18:44:39.338Z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