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C4A052"/>
          <w:sz w:val="24"/>
          <w:szCs w:val="24"/>
        </w:rPr>
        <w:t xml:space="preserve">XIPHOS HELIOS</w:t>
      </w:r>
    </w:p>
    <w:p>
      <w:pPr>
        <w:pBdr>
          <w:bottom w:val="single" w:color="C4A052" w:sz="2" w:space="12"/>
        </w:pBdr>
        <w:spacing w:after="600"/>
        <w:jc w:val="center"/>
      </w:pPr>
      <w:r>
        <w:rPr>
          <w:rFonts w:ascii="Arial" w:cs="Arial" w:eastAsia="Arial" w:hAnsi="Arial"/>
          <w:color w:val="6B7280"/>
          <w:sz w:val="20"/>
          <w:szCs w:val="20"/>
        </w:rPr>
        <w:t xml:space="preserve">LinkedIn Article</w:t>
      </w:r>
    </w:p>
    <w:p>
      <w:pPr>
        <w:spacing w:after="200"/>
        <w:jc w:val="center"/>
      </w:pPr>
      <w:r>
        <w:rPr>
          <w:rFonts w:ascii="Georgia" w:cs="Georgia" w:eastAsia="Georgia" w:hAnsi="Georgia"/>
          <w:b/>
          <w:bCs/>
          <w:color w:val="0A1628"/>
          <w:sz w:val="40"/>
          <w:szCs w:val="40"/>
        </w:rPr>
        <w:t xml:space="preserve">The $60 Million Blind Spot: Why America's Defense Supply Chain Vetting is Broken</w:t>
      </w:r>
    </w:p>
    <w:p>
      <w:pPr>
        <w:spacing w:after="200"/>
        <w:jc w:val="center"/>
      </w:pPr>
      <w:r>
        <w:rPr>
          <w:rFonts w:ascii="Georgia" w:cs="Georgia" w:eastAsia="Georgia" w:hAnsi="Georgia"/>
          <w:i/>
          <w:iCs/>
          <w:color w:val="6B7280"/>
          <w:sz w:val="32"/>
          <w:szCs w:val="32"/>
        </w:rPr>
        <w:t xml:space="preserve">And What Comes Next</w:t>
      </w:r>
    </w:p>
    <w:p>
      <w:pPr>
        <w:spacing w:after="600"/>
        <w:jc w:val="center"/>
      </w:pPr>
      <w:r>
        <w:rPr>
          <w:rFonts w:ascii="Arial" w:cs="Arial" w:eastAsia="Arial" w:hAnsi="Arial"/>
          <w:color w:val="6B7280"/>
          <w:sz w:val="20"/>
          <w:szCs w:val="20"/>
        </w:rPr>
        <w:t xml:space="preserve">By Tye Gonzalez  |  Founder, Xiphos LLC  |  SDVOSB</w:t>
      </w:r>
    </w:p>
    <w:p>
      <w:r>
        <w:br w:type="page"/>
      </w:r>
    </w:p>
    <w:p>
      <w:pPr>
        <w:spacing w:after="200"/>
      </w:pPr>
      <w:r>
        <w:rPr>
          <w:rFonts w:ascii="Georgia" w:cs="Georgia" w:eastAsia="Georgia" w:hAnsi="Georgia"/>
          <w:color w:val="0A1628"/>
          <w:sz w:val="23"/>
          <w:szCs w:val="23"/>
        </w:rPr>
        <w:t xml:space="preserve">In February 2025, an investigative report revealed something that should have kept every defense acquisition professional awake at night: a contractor holding $60 million in active U.S. Department of Defense contracts was owned by an individual identified by Chinese state media as a director in multiple United Front Work Department organizations.</w:t>
      </w:r>
    </w:p>
    <w:p>
      <w:pPr>
        <w:spacing w:after="200"/>
      </w:pPr>
      <w:r>
        <w:rPr>
          <w:rFonts w:ascii="Georgia" w:cs="Georgia" w:eastAsia="Georgia" w:hAnsi="Georgia"/>
          <w:color w:val="0A1628"/>
          <w:sz w:val="23"/>
          <w:szCs w:val="23"/>
        </w:rPr>
        <w:t xml:space="preserve">The United States government did not discover this. Journalists did.</w:t>
      </w:r>
    </w:p>
    <w:p>
      <w:pPr>
        <w:spacing w:after="200"/>
      </w:pPr>
      <w:r>
        <w:rPr>
          <w:rFonts w:ascii="Georgia" w:cs="Georgia" w:eastAsia="Georgia" w:hAnsi="Georgia"/>
          <w:color w:val="0A1628"/>
          <w:sz w:val="23"/>
          <w:szCs w:val="23"/>
        </w:rPr>
        <w:t xml:space="preserve">This was not an intelligence failure in the traditional sense. No classified system was bypassed. No firewall was breached. The information was sitting in open corporate registries, foreign media archives, and publicly accessible databases. The failure was structural: nobody was looking, because the system was never designed to look.</w:t>
      </w:r>
    </w:p>
    <w:p>
      <w:pPr>
        <w:spacing w:after="200"/>
      </w:pPr>
      <w:r>
        <w:rPr>
          <w:rFonts w:ascii="Georgia" w:cs="Georgia" w:eastAsia="Georgia" w:hAnsi="Georgia"/>
          <w:color w:val="0A1628"/>
          <w:sz w:val="23"/>
          <w:szCs w:val="23"/>
        </w:rPr>
        <w:t xml:space="preserve">For decades, the defense industrial base has operated on a vetting model built around self-disclosure. A contractor certifies that it is not foreign-owned, foreign-controlled, or foreign-influenced. That certification gets filed. The contract gets awarded. And unless something triggers a specific investigation, nobody independently verifies those claims against the actual global corporate record.</w:t>
      </w:r>
    </w:p>
    <w:p>
      <w:pPr>
        <w:spacing w:after="200"/>
      </w:pPr>
      <w:r>
        <w:rPr>
          <w:rFonts w:ascii="Georgia" w:cs="Georgia" w:eastAsia="Georgia" w:hAnsi="Georgia"/>
          <w:color w:val="0A1628"/>
          <w:sz w:val="23"/>
          <w:szCs w:val="23"/>
        </w:rPr>
        <w:t xml:space="preserve">That model is now officially dead.</w:t>
      </w:r>
    </w:p>
    <w:p>
      <w:pPr>
        <w:pStyle w:val="Heading2"/>
        <w:spacing w:after="200" w:before="400"/>
      </w:pPr>
      <w:r>
        <w:rPr>
          <w:rFonts w:ascii="Arial" w:cs="Arial" w:eastAsia="Arial" w:hAnsi="Arial"/>
          <w:b/>
          <w:bCs/>
          <w:color w:val="0A1628"/>
          <w:sz w:val="28"/>
          <w:szCs w:val="28"/>
        </w:rPr>
        <w:t xml:space="preserve">The Clock Starts</w:t>
      </w:r>
    </w:p>
    <w:p>
      <w:pPr>
        <w:spacing w:after="200"/>
      </w:pPr>
      <w:r>
        <w:rPr>
          <w:rFonts w:ascii="Georgia" w:cs="Georgia" w:eastAsia="Georgia" w:hAnsi="Georgia"/>
          <w:color w:val="0A1628"/>
          <w:sz w:val="23"/>
          <w:szCs w:val="23"/>
        </w:rPr>
        <w:t xml:space="preserve">The FY2026 National Defense Authorization Act includes the "Assessment of Foreign Ownership Contractors" amendment, introduced by Senator Joni Ernst with bipartisan support. The legislation gives the Department of Defense 12 months to implement a formal vetting framework for foreign ownership, control, and influence across defense supply chains. Non-compliance carries contract cancellation.</w:t>
      </w:r>
    </w:p>
    <w:p>
      <w:pPr>
        <w:spacing w:after="200"/>
      </w:pPr>
      <w:r>
        <w:rPr>
          <w:rFonts w:ascii="Georgia" w:cs="Georgia" w:eastAsia="Georgia" w:hAnsi="Georgia"/>
          <w:color w:val="0A1628"/>
          <w:sz w:val="23"/>
          <w:szCs w:val="23"/>
        </w:rPr>
        <w:t xml:space="preserve">Senator Ernst summarized the urgency in direct terms: "The last thing we need to do is leave the backdoor unlocked."</w:t>
      </w:r>
    </w:p>
    <w:p>
      <w:pPr>
        <w:spacing w:after="200"/>
      </w:pPr>
      <w:r>
        <w:rPr>
          <w:rFonts w:ascii="Georgia" w:cs="Georgia" w:eastAsia="Georgia" w:hAnsi="Georgia"/>
          <w:color w:val="0A1628"/>
          <w:sz w:val="23"/>
          <w:szCs w:val="23"/>
        </w:rPr>
        <w:t xml:space="preserve">The scope is significant. The defense industrial base includes roughly 300,000 companies. The vast majority are Tier 2 and Tier 3 suppliers — the component manufacturers, raw material providers, and subcontractors that form the long tail of every major weapons program. A January 2025 GAO report found that DoD's existing efforts to assess supply chain risks are uncoordinated and provide little insight into the majority of these suppliers.</w:t>
      </w:r>
    </w:p>
    <w:p>
      <w:pPr>
        <w:spacing w:after="200"/>
      </w:pPr>
      <w:r>
        <w:rPr>
          <w:rFonts w:ascii="Georgia" w:cs="Georgia" w:eastAsia="Georgia" w:hAnsi="Georgia"/>
          <w:color w:val="0A1628"/>
          <w:sz w:val="23"/>
          <w:szCs w:val="23"/>
        </w:rPr>
        <w:t xml:space="preserve">The challenge is not awareness. Policymakers understand the risk. The challenge is infrastructure.</w:t>
      </w:r>
    </w:p>
    <w:p>
      <w:pPr>
        <w:pStyle w:val="Heading2"/>
        <w:spacing w:after="200" w:before="400"/>
      </w:pPr>
      <w:r>
        <w:rPr>
          <w:rFonts w:ascii="Arial" w:cs="Arial" w:eastAsia="Arial" w:hAnsi="Arial"/>
          <w:b/>
          <w:bCs/>
          <w:color w:val="0A1628"/>
          <w:sz w:val="28"/>
          <w:szCs w:val="28"/>
        </w:rPr>
        <w:t xml:space="preserve">The Data Exists. The Connections Don't.</w:t>
      </w:r>
    </w:p>
    <w:p>
      <w:pPr>
        <w:spacing w:after="200"/>
      </w:pPr>
      <w:r>
        <w:rPr>
          <w:rFonts w:ascii="Georgia" w:cs="Georgia" w:eastAsia="Georgia" w:hAnsi="Georgia"/>
          <w:color w:val="0A1628"/>
          <w:sz w:val="23"/>
          <w:szCs w:val="23"/>
        </w:rPr>
        <w:t xml:space="preserve">Consider what it takes to genuinely vet a single vendor for FOCI exposure today. You would need to check the entity's registration status in SAM.gov for UEI, CAGE codes, and registration integrity. You would need to query the GLEIF LEI registry for the corporate parent chain. You would need to search SEC EDGAR for public company filings and CIK identifiers. You would need to screen against the Consolidated Screening List, which aggregates 13 separate federal screening lists. You would need to check OFAC's Specially Designated Nationals list directly from Treasury. You would need to screen against the EU CFSP consolidated sanctions list and the UK HMT/OFSI list. You would need to search OpenCorporates across 200+ jurisdictions for corporate structure. You would need to verify against FPDS and USAspending for actual contract history. And you would need to check DOJ's FARA registry for foreign agent registrations, the World Bank debarment list, ICIJ offshore leaks databases, and adverse media across global news sources.</w:t>
      </w:r>
    </w:p>
    <w:p>
      <w:pPr>
        <w:spacing w:after="200"/>
      </w:pPr>
      <w:r>
        <w:rPr>
          <w:rFonts w:ascii="Georgia" w:cs="Georgia" w:eastAsia="Georgia" w:hAnsi="Georgia"/>
          <w:color w:val="0A1628"/>
          <w:sz w:val="23"/>
          <w:szCs w:val="23"/>
        </w:rPr>
        <w:t xml:space="preserve">Each of these is a separate system, a separate interface, a separate set of credentials, a separate data format. An analyst doing this manually — and doing it thoroughly — might spend days on a single entity. Multiply that by even a fraction of the 300,000 companies in the defense industrial base, and you begin to understand why self-disclosure was the default. Not because it was adequate, but because there was no scalable alternative.</w:t>
      </w:r>
    </w:p>
    <w:p>
      <w:pPr>
        <w:spacing w:after="200"/>
      </w:pPr>
      <w:r>
        <w:rPr>
          <w:rFonts w:ascii="Georgia" w:cs="Georgia" w:eastAsia="Georgia" w:hAnsi="Georgia"/>
          <w:color w:val="0A1628"/>
          <w:sz w:val="23"/>
          <w:szCs w:val="23"/>
        </w:rPr>
        <w:t xml:space="preserve">That calculus has changed.</w:t>
      </w:r>
    </w:p>
    <w:p>
      <w:pPr>
        <w:pStyle w:val="Heading2"/>
        <w:spacing w:after="200" w:before="400"/>
      </w:pPr>
      <w:r>
        <w:rPr>
          <w:rFonts w:ascii="Arial" w:cs="Arial" w:eastAsia="Arial" w:hAnsi="Arial"/>
          <w:b/>
          <w:bCs/>
          <w:color w:val="0A1628"/>
          <w:sz w:val="28"/>
          <w:szCs w:val="28"/>
        </w:rPr>
        <w:t xml:space="preserve">What the New Framework Requires</w:t>
      </w:r>
    </w:p>
    <w:p>
      <w:pPr>
        <w:spacing w:after="200"/>
      </w:pPr>
      <w:r>
        <w:rPr>
          <w:rFonts w:ascii="Georgia" w:cs="Georgia" w:eastAsia="Georgia" w:hAnsi="Georgia"/>
          <w:color w:val="0A1628"/>
          <w:sz w:val="23"/>
          <w:szCs w:val="23"/>
        </w:rPr>
        <w:t xml:space="preserve">The legislation and surrounding policy guidance point toward several capabilities that any compliant vetting infrastructure will need to provide.</w:t>
      </w:r>
    </w:p>
    <w:p>
      <w:pPr>
        <w:spacing w:after="200"/>
      </w:pPr>
      <w:r>
        <w:rPr>
          <w:rFonts w:ascii="Georgia" w:cs="Georgia" w:eastAsia="Georgia" w:hAnsi="Georgia"/>
          <w:color w:val="0A1628"/>
          <w:sz w:val="23"/>
          <w:szCs w:val="23"/>
        </w:rPr>
        <w:t xml:space="preserve">First, continuous monitoring rather than point-in-time checks. Ownership structures change. Companies get acquired. Shell layers get added. A vendor that was clean at contract award may not be clean 18 months later.</w:t>
      </w:r>
    </w:p>
    <w:p>
      <w:pPr>
        <w:spacing w:after="200"/>
      </w:pPr>
      <w:r>
        <w:rPr>
          <w:rFonts w:ascii="Georgia" w:cs="Georgia" w:eastAsia="Georgia" w:hAnsi="Georgia"/>
          <w:color w:val="0A1628"/>
          <w:sz w:val="23"/>
          <w:szCs w:val="23"/>
        </w:rPr>
        <w:t xml:space="preserve">Second, beneficial ownership resolution. Knowing that "Company A" holds the contract is not sufficient. The framework demands visibility into who ultimately owns and controls that entity — the highest-level parent, the intermediate holding companies, the foreign ownership percentages, and whether those foreign owners are from allied or adversary nations.</w:t>
      </w:r>
    </w:p>
    <w:p>
      <w:pPr>
        <w:spacing w:after="200"/>
      </w:pPr>
      <w:r>
        <w:rPr>
          <w:rFonts w:ascii="Georgia" w:cs="Georgia" w:eastAsia="Georgia" w:hAnsi="Georgia"/>
          <w:color w:val="0A1628"/>
          <w:sz w:val="23"/>
          <w:szCs w:val="23"/>
        </w:rPr>
        <w:t xml:space="preserve">Third, multi-source corroboration. No single database is authoritative for every dimension of risk. SAM.gov knows about registration status but not about adverse media. OFAC knows about sanctioned individuals but not about corporate shell structures. GLEIF knows about LEI parent chains but not about federal contract history. Genuine vetting requires synthesizing signals across all of these sources and weighting them by reliability.</w:t>
      </w:r>
    </w:p>
    <w:p>
      <w:pPr>
        <w:spacing w:after="200"/>
      </w:pPr>
      <w:r>
        <w:rPr>
          <w:rFonts w:ascii="Georgia" w:cs="Georgia" w:eastAsia="Georgia" w:hAnsi="Georgia"/>
          <w:color w:val="0A1628"/>
          <w:sz w:val="23"/>
          <w:szCs w:val="23"/>
        </w:rPr>
        <w:t xml:space="preserve">Fourth, sensitivity-aware calibration. A COTS component supplier feeding a commercial logistics system does not require the same level of scrutiny as a vendor providing subsystems for a Special Access Program. The framework needs to modulate rigor based on the classification level, program sensitivity, and supply chain tier of the contract in question.</w:t>
      </w:r>
    </w:p>
    <w:p>
      <w:pPr>
        <w:pStyle w:val="Heading2"/>
        <w:spacing w:after="200" w:before="400"/>
      </w:pPr>
      <w:r>
        <w:rPr>
          <w:rFonts w:ascii="Arial" w:cs="Arial" w:eastAsia="Arial" w:hAnsi="Arial"/>
          <w:b/>
          <w:bCs/>
          <w:color w:val="0A1628"/>
          <w:sz w:val="28"/>
          <w:szCs w:val="28"/>
        </w:rPr>
        <w:t xml:space="preserve">The Operator's Approach</w:t>
      </w:r>
    </w:p>
    <w:p>
      <w:pPr>
        <w:spacing w:after="200"/>
      </w:pPr>
      <w:r>
        <w:rPr>
          <w:rFonts w:ascii="Georgia" w:cs="Georgia" w:eastAsia="Georgia" w:hAnsi="Georgia"/>
          <w:color w:val="0A1628"/>
          <w:sz w:val="23"/>
          <w:szCs w:val="23"/>
        </w:rPr>
        <w:t xml:space="preserve">At Xiphos, we have spent the last year building exactly this capability. Not as a consulting engagement or a compliance checklist, but as a production platform that runs the entire vetting pipeline in under 60 seconds.</w:t>
      </w:r>
    </w:p>
    <w:p>
      <w:pPr>
        <w:spacing w:after="200"/>
      </w:pPr>
      <w:r>
        <w:rPr>
          <w:rFonts w:ascii="Georgia" w:cs="Georgia" w:eastAsia="Georgia" w:hAnsi="Georgia"/>
          <w:color w:val="0A1628"/>
          <w:sz w:val="23"/>
          <w:szCs w:val="23"/>
        </w:rPr>
        <w:t xml:space="preserve">We call it Helios.</w:t>
      </w:r>
    </w:p>
    <w:p>
      <w:pPr>
        <w:spacing w:after="200"/>
      </w:pPr>
      <w:r>
        <w:rPr>
          <w:rFonts w:ascii="Georgia" w:cs="Georgia" w:eastAsia="Georgia" w:hAnsi="Georgia"/>
          <w:color w:val="0A1628"/>
          <w:sz w:val="23"/>
          <w:szCs w:val="23"/>
        </w:rPr>
        <w:t xml:space="preserve">Helios connects to 27 live OSINT sources — every one of them querying real government and institutional APIs in real time. No hardcoded lists. No simulated data. No "curated databases" that are actually static spreadsheets from 2019. Every finding is tagged with its source and assigned a reliability weight based on whether it came from a government primary source, an audited registry, or a media aggregator.</w:t>
      </w:r>
    </w:p>
    <w:p>
      <w:pPr>
        <w:spacing w:after="200"/>
      </w:pPr>
      <w:r>
        <w:rPr>
          <w:rFonts w:ascii="Georgia" w:cs="Georgia" w:eastAsia="Georgia" w:hAnsi="Georgia"/>
          <w:color w:val="0A1628"/>
          <w:sz w:val="23"/>
          <w:szCs w:val="23"/>
        </w:rPr>
        <w:t xml:space="preserve">The platform resolves entities across SAM.gov, SEC EDGAR, GLEIF, OpenCorporates, and Wikidata before a single screening connector fires. Because the most fundamental question in vendor vetting — "who is this entity, really?" — is the one most often skipped.</w:t>
      </w:r>
    </w:p>
    <w:p>
      <w:pPr>
        <w:spacing w:after="200"/>
      </w:pPr>
      <w:r>
        <w:rPr>
          <w:rFonts w:ascii="Georgia" w:cs="Georgia" w:eastAsia="Georgia" w:hAnsi="Georgia"/>
          <w:color w:val="0A1628"/>
          <w:sz w:val="23"/>
          <w:szCs w:val="23"/>
        </w:rPr>
        <w:t xml:space="preserve">It scores vendors through a 14-factor model calibrated across seven sensitivity tiers, from CRITICAL_SAP to COMMERCIAL. Ownership opacity, foreign ownership depth, beneficial owner resolution, executive PEP exposure, sanctions proximity, regulatory gate compliance, data quality coverage, geopolitical sector exposure — each factor weighted by program sensitivity, each contribution traceable to its source.</w:t>
      </w:r>
    </w:p>
    <w:p>
      <w:pPr>
        <w:spacing w:after="200"/>
      </w:pPr>
      <w:r>
        <w:rPr>
          <w:rFonts w:ascii="Georgia" w:cs="Georgia" w:eastAsia="Georgia" w:hAnsi="Georgia"/>
          <w:color w:val="0A1628"/>
          <w:sz w:val="23"/>
          <w:szCs w:val="23"/>
        </w:rPr>
        <w:t xml:space="preserve">And it does this at scale. Contract vehicle search lets you type "OASIS" and see every prime contractor and subcontractor associated with that vehicle, mapped as a supply chain graph, with the ability to batch-assess the entire vendor population in a single operation.</w:t>
      </w:r>
    </w:p>
    <w:p>
      <w:pPr>
        <w:pStyle w:val="Heading2"/>
        <w:spacing w:after="200" w:before="400"/>
      </w:pPr>
      <w:r>
        <w:rPr>
          <w:rFonts w:ascii="Arial" w:cs="Arial" w:eastAsia="Arial" w:hAnsi="Arial"/>
          <w:b/>
          <w:bCs/>
          <w:color w:val="0A1628"/>
          <w:sz w:val="28"/>
          <w:szCs w:val="28"/>
        </w:rPr>
        <w:t xml:space="preserve">Why This Matters Now</w:t>
      </w:r>
    </w:p>
    <w:p>
      <w:pPr>
        <w:spacing w:after="200"/>
      </w:pPr>
      <w:r>
        <w:rPr>
          <w:rFonts w:ascii="Georgia" w:cs="Georgia" w:eastAsia="Georgia" w:hAnsi="Georgia"/>
          <w:color w:val="0A1628"/>
          <w:sz w:val="23"/>
          <w:szCs w:val="23"/>
        </w:rPr>
        <w:t xml:space="preserve">The 12-month implementation window in the NDAA is not arbitrary. It reflects the urgency created by documented failures — the $60 million contractor with UFWD ties being only the most public example. The intelligence community's assessment is that foreign adversaries are actively targeting the defense supply chain through proxy ownership, shell companies, and acquisition of small and mid-tier suppliers who lack the resources and sophistication to detect the approach.</w:t>
      </w:r>
    </w:p>
    <w:p>
      <w:pPr>
        <w:spacing w:after="200"/>
      </w:pPr>
      <w:r>
        <w:rPr>
          <w:rFonts w:ascii="Georgia" w:cs="Georgia" w:eastAsia="Georgia" w:hAnsi="Georgia"/>
          <w:color w:val="0A1628"/>
          <w:sz w:val="23"/>
          <w:szCs w:val="23"/>
        </w:rPr>
        <w:t xml:space="preserve">The organizations that will navigate this transition successfully are the ones that treat FOCI vetting not as a compliance checkbox but as an operational capability. One that runs continuously, scales across the full supplier base, and produces decision-grade outputs that can withstand audit scrutiny.</w:t>
      </w:r>
    </w:p>
    <w:p>
      <w:pPr>
        <w:spacing w:after="200"/>
      </w:pPr>
      <w:r>
        <w:rPr>
          <w:rFonts w:ascii="Georgia" w:cs="Georgia" w:eastAsia="Georgia" w:hAnsi="Georgia"/>
          <w:color w:val="0A1628"/>
          <w:sz w:val="23"/>
          <w:szCs w:val="23"/>
        </w:rPr>
        <w:t xml:space="preserve">The backdoor has been unlocked for too long. The clock is ticking to change that.</w:t>
      </w:r>
    </w:p>
    <w:p>
      <w:pPr>
        <w:spacing w:after="200"/>
      </w:pPr>
      <w:r>
        <w:rPr>
          <w:rFonts w:ascii="Georgia" w:cs="Georgia" w:eastAsia="Georgia" w:hAnsi="Georgia"/>
          <w:color w:val="0A1628"/>
          <w:sz w:val="23"/>
          <w:szCs w:val="23"/>
        </w:rPr>
        <w:t xml:space="preserve">Helios is how we close it.</w:t>
      </w:r>
    </w:p>
    <w:p>
      <w:pPr>
        <w:pBdr>
          <w:bottom w:val="single" w:color="C4A052" w:sz="2" w:space="8"/>
        </w:pBdr>
        <w:spacing w:after="300" w:before="300"/>
      </w:pPr>
    </w:p>
    <w:p>
      <w:pPr>
        <w:spacing w:after="100"/>
      </w:pPr>
      <w:r>
        <w:rPr>
          <w:rFonts w:ascii="Arial" w:cs="Arial" w:eastAsia="Arial" w:hAnsi="Arial"/>
          <w:i/>
          <w:iCs/>
          <w:color w:val="6B7280"/>
          <w:sz w:val="20"/>
          <w:szCs w:val="20"/>
        </w:rPr>
        <w:t xml:space="preserve">Tye Gonzalez is the founder of Xiphos LLC, a Service-Disabled Veteran-Owned Small Business providing operational solutions for defense, intelligence, and corporate security challenges. Xiphos Helios is a compliance and vendor assurance platform built for defense and intelligence supply chains.</w:t>
      </w:r>
    </w:p>
    <w:p>
      <w:pPr>
        <w:spacing w:after="100"/>
      </w:pPr>
      <w:r>
        <w:rPr>
          <w:rFonts w:ascii="Arial" w:cs="Arial" w:eastAsia="Arial" w:hAnsi="Arial"/>
          <w:i/>
          <w:iCs/>
          <w:color w:val="6B7280"/>
          <w:sz w:val="20"/>
          <w:szCs w:val="20"/>
        </w:rPr>
        <w:t xml:space="preserve">Learn more at xiphosllc.com</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00" w:before="4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2026-03-18T18:28:12.971Z</dcterms:created>
  <dcterms:modified xsi:type="dcterms:W3CDTF">2026-03-18T18:28:12.971Z</dcterms:modified>
</cp:coreProperties>
</file>

<file path=docProps/custom.xml><?xml version="1.0" encoding="utf-8"?>
<Properties xmlns="http://schemas.openxmlformats.org/officeDocument/2006/custom-properties" xmlns:vt="http://schemas.openxmlformats.org/officeDocument/2006/docPropsVTypes"/>
</file>