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Arial" w:cs="Arial" w:eastAsia="Arial" w:hAnsi="Arial"/>
          <w:b/>
          <w:bCs/>
          <w:color w:val="C4A052"/>
          <w:sz w:val="28"/>
          <w:szCs w:val="28"/>
        </w:rPr>
        <w:t xml:space="preserve">XIPHOS HELIOS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  |  LinkedIn Launch Post</w:t>
      </w:r>
    </w:p>
    <w:p>
      <w:pPr>
        <w:pBdr>
          <w:bottom w:val="single" w:color="C4A052" w:sz="4" w:space="8"/>
        </w:pBdr>
        <w:spacing w:after="400"/>
      </w:pPr>
    </w:p>
    <w:p>
      <w:pPr>
        <w:spacing w:after="20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Last year, journalists — not the U.S. government — discovered that a defense contractor holding $60 million in active DoD contracts was owned by an individual tied to Chinese intelligence services.</w:t>
      </w:r>
    </w:p>
    <w:p>
      <w:pPr>
        <w:spacing w:after="20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The government had no independent visibility. Zero.</w:t>
      </w:r>
    </w:p>
    <w:p>
      <w:pPr>
        <w:spacing w:after="20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That moment forced a reckoning. Senator Ernst's amendment in the FY2026 NDAA now gives DoD 12 months to stand up a formal vetting framework for foreign ownership, control, and influence across the entire defense industrial base. The era of self-disclosure is over.</w:t>
      </w:r>
    </w:p>
    <w:p>
      <w:pPr>
        <w:spacing w:after="20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But here's the part nobody's talking about: the problem isn't just policy. It's infrastructure. The data exists — scattered across SAM.gov, GLEIF, SEC EDGAR, OFAC, USAspending, FPDS, corporate registries in 200+ jurisdictions. The challenge is connecting it in real time, at scale, with the rigor that national security demands.</w:t>
      </w:r>
    </w:p>
    <w:p>
      <w:pPr>
        <w:spacing w:after="20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That's what we built.</w:t>
      </w:r>
    </w:p>
    <w:p>
      <w:pPr>
        <w:spacing w:after="20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Xiphos Helios is a compliance and vendor assurance platform purpose-built for defense and intelligence supply chains. Not a dashboard bolted onto a commercial due diligence tool. Not a consulting engagement disguised as software.</w:t>
      </w:r>
    </w:p>
    <w:p>
      <w:pPr>
        <w:spacing w:after="20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Here's what it does:</w:t>
      </w:r>
    </w:p>
    <w:p>
      <w:pPr>
        <w:spacing w:after="20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Entity resolution across 5 authoritative registries — SAM.gov, SEC EDGAR, GLEIF, OpenCorporates, Wikidata — to resolve "who is this vendor, really?" before a single connector fires.</w:t>
      </w:r>
    </w:p>
    <w:p>
      <w:pPr>
        <w:spacing w:after="20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27 live OSINT sources queried in parallel. Every finding traced to its source with a reliability weight. Government primary sources (OFAC SDN, Trade.gov CSL, UN Sanctions) carry more weight than media aggregators. Because provenance matters.</w:t>
      </w:r>
    </w:p>
    <w:p>
      <w:pPr>
        <w:spacing w:after="20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A 14-factor scoring engine calibrated for defense sensitivity tiers, from CRITICAL_SAP down to COMMERCIAL. Foreign ownership depth, FOCI exposure, beneficial ownership opacity, regulatory gate compliance — scored through a dual-layer architecture that separates deterministic gates from probabilistic risk.</w:t>
      </w:r>
    </w:p>
    <w:p>
      <w:pPr>
        <w:spacing w:after="20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Corporate ownership chain resolution powered by SAM.gov's integrity data — highest owner, immediate owner, predecessors, SBA certifications, CAGE, UEI — visible before you even create a case.</w:t>
      </w:r>
    </w:p>
    <w:p>
      <w:pPr>
        <w:spacing w:after="20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Contract vehicle search across USAspending — type "OASIS" or "CIO-SP3" and see every prime and subcontractor, with award amounts, mapped as a supply chain graph.</w:t>
      </w:r>
    </w:p>
    <w:p>
      <w:pPr>
        <w:spacing w:after="20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We're a Service-Disabled Veteran-Owned Small Business. We built this with case officer tradecraft, counterintelligence discipline, and operator tempo. First-pass assessments in under 60 seconds. Audit-ready dossiers, not PowerPoint decks.</w:t>
      </w:r>
    </w:p>
    <w:p>
      <w:pPr>
        <w:spacing w:after="20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The 12-month clock is ticking.</w:t>
      </w:r>
    </w:p>
    <w:p>
      <w:pPr>
        <w:spacing w:after="200"/>
      </w:pPr>
      <w:r>
        <w:rPr>
          <w:rFonts w:ascii="Arial" w:cs="Arial" w:eastAsia="Arial" w:hAnsi="Arial"/>
          <w:color w:val="0A1628"/>
          <w:sz w:val="22"/>
          <w:szCs w:val="22"/>
        </w:rPr>
        <w:t xml:space="preserve">Helios is coming.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C4A052"/>
          <w:sz w:val="20"/>
          <w:szCs w:val="20"/>
        </w:rPr>
        <w:t xml:space="preserve">#DefenseIndustrialBase #SupplyChainSecurity #FOCI #VendorVetting #NDAA2026 #NationalSecurity #OSINT #Compliance #SDVOSB #Xiphos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2026-03-18T18:28:12.967Z</dcterms:created>
  <dcterms:modified xsi:type="dcterms:W3CDTF">2026-03-18T18:28:12.967Z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