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DC2626"/>
          <w:sz w:val="18"/>
          <w:szCs w:val="18"/>
        </w:rPr>
        <w:t xml:space="preserve">PROPRIETARY &amp; CONFIDENTIAL</w:t>
      </w:r>
    </w:p>
    <w:p>
      <w:pPr>
        <w:spacing w:after="600"/>
      </w:pPr>
      <w:r>
        <w:rPr>
          <w:rFonts w:ascii="Arial" w:cs="Arial" w:eastAsia="Arial" w:hAnsi="Arial"/>
          <w:b/>
          <w:bCs/>
          <w:caps/>
          <w:color w:val="C4A052"/>
          <w:spacing w:val="200"/>
          <w:sz w:val="20"/>
          <w:szCs w:val="20"/>
        </w:rPr>
        <w:t xml:space="preserve">XIPHOS LLC</w:t>
      </w:r>
    </w:p>
    <w:p>
      <w:pPr>
        <w:spacing w:after="100"/>
      </w:pPr>
      <w:r>
        <w:rPr>
          <w:rFonts w:ascii="Arial" w:cs="Arial" w:eastAsia="Arial" w:hAnsi="Arial"/>
          <w:b/>
          <w:bCs/>
          <w:color w:val="0A1628"/>
          <w:sz w:val="52"/>
          <w:szCs w:val="52"/>
        </w:rPr>
        <w:t xml:space="preserve">Xiphos Vendor Assurance Platform</w:t>
      </w:r>
    </w:p>
    <w:p>
      <w:pPr>
        <w:spacing w:after="400"/>
      </w:pPr>
      <w:r>
        <w:rPr>
          <w:rFonts w:ascii="Arial" w:cs="Arial" w:eastAsia="Arial" w:hAnsi="Arial"/>
          <w:color w:val="6B7280"/>
          <w:sz w:val="32"/>
          <w:szCs w:val="32"/>
        </w:rPr>
        <w:t xml:space="preserve">Product Marketing Briefing</w:t>
      </w:r>
    </w:p>
    <w:p>
      <w:pPr>
        <w:pBdr>
          <w:bottom w:val="single" w:color="C4A052" w:sz="6" w:space="12"/>
        </w:pBdr>
        <w:spacing w:after="200"/>
      </w:pPr>
    </w:p>
    <w:p>
      <w:pPr>
        <w:spacing w:after="100" w:before="200"/>
      </w:pPr>
      <w:r>
        <w:rPr>
          <w:color w:val="6B7280"/>
          <w:sz w:val="22"/>
          <w:szCs w:val="22"/>
        </w:rPr>
        <w:t xml:space="preserve">Prepared for: Marketing Agent / BD Team</w:t>
      </w:r>
    </w:p>
    <w:p>
      <w:pPr>
        <w:spacing w:after="100"/>
      </w:pPr>
      <w:r>
        <w:rPr>
          <w:color w:val="6B7280"/>
          <w:sz w:val="22"/>
          <w:szCs w:val="22"/>
        </w:rPr>
        <w:t xml:space="preserve">Prepared by: Xiphos Product Team</w:t>
      </w:r>
    </w:p>
    <w:p>
      <w:pPr>
        <w:spacing w:after="100"/>
      </w:pPr>
      <w:r>
        <w:rPr>
          <w:color w:val="6B7280"/>
          <w:sz w:val="22"/>
          <w:szCs w:val="22"/>
        </w:rPr>
        <w:t xml:space="preserve">Date: March 18, 2026</w:t>
      </w:r>
    </w:p>
    <w:p>
      <w:pPr>
        <w:spacing w:after="100"/>
      </w:pPr>
      <w:r>
        <w:rPr>
          <w:color w:val="6B7280"/>
          <w:sz w:val="22"/>
          <w:szCs w:val="22"/>
        </w:rPr>
        <w:t xml:space="preserve">Version: v5.2.2 (Production)</w:t>
      </w:r>
    </w:p>
    <w:p>
      <w:pPr>
        <w:spacing w:after="100"/>
      </w:pPr>
      <w:r>
        <w:rPr>
          <w:color w:val="6B7280"/>
          <w:sz w:val="22"/>
          <w:szCs w:val="22"/>
        </w:rPr>
        <w:t xml:space="preserve">Classification: SDVOSB Proprietary</w:t>
      </w:r>
    </w:p>
    <w:p>
      <w:pPr>
        <w:sectPr>
          <w:pgSz w:w="12240" w:h="15840" w:orient="portrait"/>
          <w:pgMar w:top="2880" w:right="1440" w:bottom="1440" w:left="1440" w:header="708" w:footer="708" w:gutter="0"/>
          <w:pgNumType/>
          <w:docGrid w:linePitch="360"/>
        </w:sectPr>
      </w:pPr>
    </w:p>
    <w:p>
      <w:pPr>
        <w:pStyle w:val="Heading1"/>
      </w:pPr>
      <w:r>
        <w:t xml:space="preserve">1. Company Overview</w:t>
      </w:r>
    </w:p>
    <w:p>
      <w:pPr>
        <w:pStyle w:val="Heading2"/>
      </w:pPr>
      <w:r>
        <w:t xml:space="preserve">Who We Are</w:t>
      </w:r>
    </w:p>
    <w:p>
      <w:pPr>
        <w:spacing w:after="200"/>
      </w:pPr>
      <w:r>
        <w:t xml:space="preserve">Xiphos LLC is a </w:t>
      </w:r>
      <w:r>
        <w:rPr>
          <w:b/>
          <w:bCs/>
        </w:rPr>
        <w:t xml:space="preserve">Service-Disabled Veteran-Owned Small Business (SDVOSB)</w:t>
      </w:r>
      <w:r>
        <w:t xml:space="preserve"> founded in San Diego, CA by Tye Gonzalez, PMP. With 25+ years of Defense, Intelligence Community, and Special Operations experience, Xiphos brings case officer tradecraft, counterintelligence discipline, and special operations tempo to the problems that matter most.</w:t>
      </w:r>
    </w:p>
    <w:p>
      <w:pPr>
        <w:pStyle w:val="Heading2"/>
      </w:pPr>
      <w:r>
        <w:t xml:space="preserve">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Company Name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Xiphos LLC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Tagline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Operational Clarity in Contested Spaces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Brand Promise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We convert ambiguity into decision-grade outputs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Designation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SDVOSB Certified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Location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San Diego, California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Website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http://www.xiphosllc.com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Brand Colors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Black (#0A1628), Gold (#C4A052), White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Brand Voice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Authoritative, precise, operator-grade. Not corporate. Not academic. Mission-focused.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0A1628"/>
                <w:sz w:val="20"/>
                <w:szCs w:val="20"/>
              </w:rPr>
              <w:t xml:space="preserve">Typography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Serif headlines (elegant authority), Sans-serif body (clean readability)</w:t>
            </w:r>
          </w:p>
        </w:tc>
      </w:tr>
    </w:tbl>
    <w:p>
      <w:pPr>
        <w:pStyle w:val="Heading2"/>
      </w:pPr>
      <w:r>
        <w:t xml:space="preserve">Operating Principles</w:t>
      </w:r>
    </w:p>
    <w:p>
      <w:pPr>
        <w:pStyle w:val="ListParagraph"/>
        <w:numPr>
          <w:ilvl w:val="0"/>
          <w:numId w:val="2"/>
        </w:numPr>
        <w:spacing w:after="120"/>
      </w:pPr>
      <w:r>
        <w:rPr>
          <w:b/>
          <w:bCs/>
        </w:rPr>
        <w:t xml:space="preserve">Mission First: </w:t>
      </w:r>
      <w:r>
        <w:t xml:space="preserve">Every engagement starts with the end state. We work backward from what success looks like in theater.</w:t>
      </w:r>
    </w:p>
    <w:p>
      <w:pPr>
        <w:pStyle w:val="ListParagraph"/>
        <w:numPr>
          <w:ilvl w:val="0"/>
          <w:numId w:val="2"/>
        </w:numPr>
        <w:spacing w:after="120"/>
      </w:pPr>
      <w:r>
        <w:rPr>
          <w:b/>
          <w:bCs/>
        </w:rPr>
        <w:t xml:space="preserve">Provenance Over Opinion: </w:t>
      </w:r>
      <w:r>
        <w:t xml:space="preserve">Every claim is sourced. Every edge in the graph has a citation. Defensible decisions require auditable evidence.</w:t>
      </w:r>
    </w:p>
    <w:p>
      <w:pPr>
        <w:pStyle w:val="ListParagraph"/>
        <w:numPr>
          <w:ilvl w:val="0"/>
          <w:numId w:val="2"/>
        </w:numPr>
        <w:spacing w:after="120"/>
      </w:pPr>
      <w:r>
        <w:rPr>
          <w:b/>
          <w:bCs/>
        </w:rPr>
        <w:t xml:space="preserve">Operator Tempo: </w:t>
      </w:r>
      <w:r>
        <w:t xml:space="preserve">We deliver at capture speed, not enterprise speed. First-pass dossiers in hours, not weeks.</w:t>
      </w:r>
    </w:p>
    <w:p>
      <w:pPr>
        <w:pStyle w:val="ListParagraph"/>
        <w:numPr>
          <w:ilvl w:val="0"/>
          <w:numId w:val="2"/>
        </w:numPr>
        <w:spacing w:after="120"/>
      </w:pPr>
      <w:r>
        <w:rPr>
          <w:b/>
          <w:bCs/>
        </w:rPr>
        <w:t xml:space="preserve">Lean and Lethal: </w:t>
      </w:r>
      <w:r>
        <w:t xml:space="preserve">Small teams, high trust, minimal overhead. Built for SLA, not for slides.</w:t>
      </w:r>
    </w:p>
    <w:p>
      <w:r>
        <w:br w:type="page"/>
      </w:r>
    </w:p>
    <w:p>
      <w:pPr>
        <w:pStyle w:val="Heading1"/>
      </w:pPr>
      <w:r>
        <w:t xml:space="preserve">2. The Product: Xiphos Vendor Assurance Platform</w:t>
      </w:r>
    </w:p>
    <w:p>
      <w:pPr>
        <w:pStyle w:val="Heading2"/>
      </w:pPr>
      <w:r>
        <w:t xml:space="preserve">One-Line Description</w:t>
      </w:r>
    </w:p>
    <w:p>
      <w:pPr>
        <w:spacing w:after="200"/>
      </w:pPr>
      <w:r>
        <w:rPr>
          <w:i/>
          <w:iCs/>
          <w:color w:val="0A1628"/>
          <w:sz w:val="24"/>
          <w:szCs w:val="24"/>
        </w:rPr>
        <w:t xml:space="preserve">Intelligence-grade vendor assurance that converts messy public data into decision-grade outputs with a complete audit trail.</w:t>
      </w:r>
    </w:p>
    <w:p>
      <w:pPr>
        <w:pStyle w:val="Heading2"/>
      </w:pPr>
      <w:r>
        <w:t xml:space="preserve">What It Does</w:t>
      </w:r>
    </w:p>
    <w:p>
      <w:pPr>
        <w:spacing w:after="200"/>
      </w:pPr>
      <w:r>
        <w:t xml:space="preserve">The Xiphos platform is a two-layer compliance scoring engine purpose-built for defense acquisition and DoD supply chain risk management. It screens vendors through 28 live OSINT connectors, evaluates 10 regulatory gates (Section 889, ITAR, EAR, DFARS, CMMC, FOCI, CFIUS, NDAA 1260H, Berry Amendment), and produces calibrated risk probabilities using a 14-factor FGAMLogit (Factored Generalized Additive Logistic Model) scoring engine. Every finding is sourced, scored, and defensible.</w:t>
      </w:r>
    </w:p>
    <w:p>
      <w:pPr>
        <w:pStyle w:val="Heading2"/>
      </w:pPr>
      <w: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b/>
                <w:bCs/>
                <w:color w:val="FFFFFF"/>
                <w:sz w:val="20"/>
                <w:szCs w:val="20"/>
              </w:rPr>
              <w:t xml:space="preserve">Capability</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28-Source OSINT Enrichment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Live data from SAM.gov, SEC EDGAR, GLEIF LEI, OFAC SDN, UN/EU/UK sanctions, BIS Entity List, OpenCorporates, FARA, CourtListener, GDELT media, and 18 more specialized sources. Each vendor screened across all sources simultaneously.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10-Gate Regulatory Engine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Deterministic compliance gates for Section 889, ITAR, EAR, DFARS Specialty Metals, CDI, CMMC 2.0, FOCI, NDAA 1260H, CFIUS, and Berry Amendment. Binary PASS/FAIL/PENDING per gate with remediation guidance.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14-Factor Risk Scoring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FGAMLogit probabilistic model with sensitivity-aware weights. Factors include sanctions, geography, ownership, data quality, executive risk, regulatory gate proximity, ITAR exposure, foreign ownership depth, CMMC readiness, single-source risk, geopolitical exposure, financial stability, and compliance history.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Sensitivity-Aware Assessment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Seven program scrutiny levels (CRITICAL through COMMERCIAL) reshape the scoring surface. Higher sensitivity amplifies risk signals without inflating scores for clean vendors. Uniform 5% baseline across all levels.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Supply Chain Tier Weighting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Tier 0 primes (cleared facilities) get reduced uncertainty weights. Tier 3 suppliers get elevated scrutiny. The system accounts for how well-known a vendor is before penalizing for missing data.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Continuous Monitoring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Post-award monitoring with automated rescoring. Ownership changes, sanctions updates, and adverse events tracked in real time with configurable alert thresholds.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color w:val="0A1628"/>
                <w:sz w:val="20"/>
                <w:szCs w:val="20"/>
              </w:rPr>
              <w:t xml:space="preserve">Audit-Ready Dossiers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sz w:val="20"/>
                <w:szCs w:val="20"/>
              </w:rPr>
              <w:t xml:space="preserve">Exportable intelligence products with sourced findings, confidence intervals, and compliance narratives suitable for proposal attachments and contracting officer review.</w:t>
            </w:r>
          </w:p>
        </w:tc>
      </w:tr>
    </w:tbl>
    <w:p>
      <w:r>
        <w:br w:type="page"/>
      </w:r>
    </w:p>
    <w:p>
      <w:pPr>
        <w:pStyle w:val="Heading1"/>
      </w:pPr>
      <w:r>
        <w:t xml:space="preserve">3. Target Audience &amp; User Personas</w:t>
      </w:r>
    </w:p>
    <w:p>
      <w:pPr>
        <w:pStyle w:val="Heading3"/>
      </w:pPr>
      <w:r>
        <w:t xml:space="preserve">Capture Managers &amp; Proposal Leads</w:t>
      </w:r>
    </w:p>
    <w:p>
      <w:pPr>
        <w:spacing w:after="80"/>
      </w:pPr>
      <w:r>
        <w:t xml:space="preserve">Under time pressure, racing proposal deadlines. Need to know if a supplier is risky in minutes, not days. Want proposal-ready narratives, competitor proofing, and mitigation language.</w:t>
      </w:r>
    </w:p>
    <w:p>
      <w:pPr>
        <w:spacing w:after="200"/>
      </w:pPr>
      <w:r>
        <w:rPr>
          <w:b/>
          <w:bCs/>
          <w:color w:val="0A1628"/>
        </w:rPr>
        <w:t xml:space="preserve">Key needs: </w:t>
      </w:r>
      <w:r>
        <w:t xml:space="preserve">Speed, confidence, proposal-ready outputs</w:t>
      </w:r>
    </w:p>
    <w:p>
      <w:pPr>
        <w:pStyle w:val="Heading3"/>
      </w:pPr>
      <w:r>
        <w:t xml:space="preserve">Program Managers &amp; Protection Staff</w:t>
      </w:r>
    </w:p>
    <w:p>
      <w:pPr>
        <w:spacing w:after="80"/>
      </w:pPr>
      <w:r>
        <w:t xml:space="preserve">Responsible for post-award supplier oversight. Need continuous monitoring, alerting, and repeatable evidence to drive mitigations when assumptions shift.</w:t>
      </w:r>
    </w:p>
    <w:p>
      <w:pPr>
        <w:spacing w:after="200"/>
      </w:pPr>
      <w:r>
        <w:rPr>
          <w:b/>
          <w:bCs/>
          <w:color w:val="0A1628"/>
        </w:rPr>
        <w:t xml:space="preserve">Key needs: </w:t>
      </w:r>
      <w:r>
        <w:t xml:space="preserve">Continuous monitoring, actionable alerts, audit trail</w:t>
      </w:r>
    </w:p>
    <w:p>
      <w:pPr>
        <w:pStyle w:val="Heading3"/>
      </w:pPr>
      <w:r>
        <w:t xml:space="preserve">Business Development Leaders</w:t>
      </w:r>
    </w:p>
    <w:p>
      <w:pPr>
        <w:spacing w:after="80"/>
      </w:pPr>
      <w:r>
        <w:t xml:space="preserve">Strategic decision-makers who need portfolio-level risk views. Want early warning that changes capture strategy and protects bid decisions.</w:t>
      </w:r>
    </w:p>
    <w:p>
      <w:pPr>
        <w:spacing w:after="200"/>
      </w:pPr>
      <w:r>
        <w:rPr>
          <w:b/>
          <w:bCs/>
          <w:color w:val="0A1628"/>
        </w:rPr>
        <w:t xml:space="preserve">Key needs: </w:t>
      </w:r>
      <w:r>
        <w:t xml:space="preserve">Portfolio dashboards, executive summaries, trend analysis</w:t>
      </w:r>
    </w:p>
    <w:p>
      <w:pPr>
        <w:pStyle w:val="Heading3"/>
      </w:pPr>
      <w:r>
        <w:t xml:space="preserve">Prime Compliance &amp; Trade Teams</w:t>
      </w:r>
    </w:p>
    <w:p>
      <w:pPr>
        <w:spacing w:after="80"/>
      </w:pPr>
      <w:r>
        <w:t xml:space="preserve">Specialists in ITAR, OFAC, CFIUS, and DFARS compliance. Need sanctions adjacency analysis aligned to regulatory guidance.</w:t>
      </w:r>
    </w:p>
    <w:p>
      <w:pPr>
        <w:spacing w:after="200"/>
      </w:pPr>
      <w:r>
        <w:rPr>
          <w:b/>
          <w:bCs/>
          <w:color w:val="0A1628"/>
        </w:rPr>
        <w:t xml:space="preserve">Key needs: </w:t>
      </w:r>
      <w:r>
        <w:t xml:space="preserve">Regulatory gate results, compliance narratives, export control data</w:t>
      </w:r>
    </w:p>
    <w:p>
      <w:pPr>
        <w:pStyle w:val="Heading3"/>
      </w:pPr>
      <w:r>
        <w:t xml:space="preserve">Private Equity &amp; Defense Investors</w:t>
      </w:r>
    </w:p>
    <w:p>
      <w:pPr>
        <w:spacing w:after="80"/>
      </w:pPr>
      <w:r>
        <w:t xml:space="preserve">Due diligence on acquisition targets. Need ownership chain clarity, adverse media screening, foreign influence mapping.</w:t>
      </w:r>
    </w:p>
    <w:p>
      <w:pPr>
        <w:spacing w:after="200"/>
      </w:pPr>
      <w:r>
        <w:rPr>
          <w:b/>
          <w:bCs/>
          <w:color w:val="0A1628"/>
        </w:rPr>
        <w:t xml:space="preserve">Key needs: </w:t>
      </w:r>
      <w:r>
        <w:t xml:space="preserve">Ownership graphs, adverse media, financial stability signals</w:t>
      </w:r>
    </w:p>
    <w:p>
      <w:pPr>
        <w:pStyle w:val="Heading3"/>
      </w:pPr>
      <w:r>
        <w:t xml:space="preserve">IC &amp; Special Operations Units</w:t>
      </w:r>
    </w:p>
    <w:p>
      <w:pPr>
        <w:spacing w:after="80"/>
      </w:pPr>
      <w:r>
        <w:t xml:space="preserve">Operational training and readiness assessment. Need partner vetting, integrity screening, and risk evaluation.</w:t>
      </w:r>
    </w:p>
    <w:p>
      <w:pPr>
        <w:spacing w:after="200"/>
      </w:pPr>
      <w:r>
        <w:rPr>
          <w:b/>
          <w:bCs/>
          <w:color w:val="0A1628"/>
        </w:rPr>
        <w:t xml:space="preserve">Key needs: </w:t>
      </w:r>
      <w:r>
        <w:t xml:space="preserve">Fast turnaround, sourced evidence, operational security</w:t>
      </w:r>
    </w:p>
    <w:p>
      <w:r>
        <w:br w:type="page"/>
      </w:r>
    </w:p>
    <w:p>
      <w:pPr>
        <w:pStyle w:val="Heading1"/>
      </w:pPr>
      <w:r>
        <w:t xml:space="preserve">4. Competitive Positioning</w:t>
      </w:r>
    </w:p>
    <w:p>
      <w:pPr>
        <w:pStyle w:val="Heading2"/>
      </w:pPr>
      <w:r>
        <w:t xml:space="preserve">Why Xiphos Wins</w:t>
      </w:r>
    </w:p>
    <w:p>
      <w:pPr>
        <w:spacing w:after="200"/>
      </w:pPr>
      <w:r>
        <w:t xml:space="preserve">The defense supply chain compliance market is served by large enterprise platforms (Exiger, Sayari, Interos) that are expensive, slow to onboard, and designed for Fortune 500 compliance teams. Xiphos occupies a different position: </w:t>
      </w:r>
      <w:r>
        <w:rPr>
          <w:b/>
          <w:bCs/>
        </w:rPr>
        <w:t xml:space="preserve">operator-grade intelligence at capture speed, built by people who have lived the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pPr>
              <w:jc w:val="center"/>
            </w:pPr>
            <w:r>
              <w:rPr>
                <w:b/>
                <w:bCs/>
                <w:color w:val="FFFFFF"/>
                <w:sz w:val="18"/>
                <w:szCs w:val="18"/>
              </w:rPr>
              <w:t xml:space="preserve">Differentiator</w:t>
            </w:r>
          </w:p>
        </w:tc>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pPr>
              <w:jc w:val="center"/>
            </w:pPr>
            <w:r>
              <w:rPr>
                <w:b/>
                <w:bCs/>
                <w:color w:val="FFFFFF"/>
                <w:sz w:val="18"/>
                <w:szCs w:val="18"/>
              </w:rPr>
              <w:t xml:space="preserve">Enterprise Platforms</w:t>
            </w:r>
          </w:p>
        </w:tc>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pPr>
              <w:jc w:val="center"/>
            </w:pPr>
            <w:r>
              <w:rPr>
                <w:b/>
                <w:bCs/>
                <w:color w:val="FFFFFF"/>
                <w:sz w:val="18"/>
                <w:szCs w:val="18"/>
              </w:rPr>
              <w:t xml:space="preserve">Manual Research</w:t>
            </w:r>
          </w:p>
        </w:tc>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pPr>
              <w:jc w:val="center"/>
            </w:pPr>
            <w:r>
              <w:rPr>
                <w:b/>
                <w:bCs/>
                <w:color w:val="FFFFFF"/>
                <w:sz w:val="18"/>
                <w:szCs w:val="18"/>
              </w:rPr>
              <w:t xml:space="preserve">Xiphos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Time to First Dossier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Weeks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Days</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Hours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OSINT Sources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10-15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3-5 manual</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28 live APIs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DoD Regulatory Gates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Partial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None</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10 gates automated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Sensitivity-Aware Scoring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No</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7 program tiers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Audit Trail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Partial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None</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Full provenance</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SDVOSB Set-Aside Eligible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N/A</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Yes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18"/>
                <w:szCs w:val="18"/>
              </w:rPr>
              <w:t xml:space="preserve">Pricing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$100K+/year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color w:val="6B7280"/>
                <w:sz w:val="18"/>
                <w:szCs w:val="18"/>
              </w:rPr>
              <w:t xml:space="preserve">Labor hours</w:t>
            </w:r>
          </w:p>
        </w:tc>
        <w:tc>
          <w:tcPr>
            <w:tcW w:type="dxa" w:w="23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b/>
                <w:bCs/>
                <w:color w:val="2D7AFF"/>
                <w:sz w:val="18"/>
                <w:szCs w:val="18"/>
              </w:rPr>
              <w:t xml:space="preserve">Mission-based</w:t>
            </w:r>
          </w:p>
        </w:tc>
      </w:tr>
    </w:tbl>
    <w:p>
      <w:r>
        <w:br w:type="page"/>
      </w:r>
    </w:p>
    <w:p>
      <w:pPr>
        <w:pStyle w:val="Heading1"/>
      </w:pPr>
      <w:r>
        <w:t xml:space="preserve">5. Key Marketing Messages</w:t>
      </w:r>
    </w:p>
    <w:p>
      <w:pPr>
        <w:pStyle w:val="Heading2"/>
      </w:pPr>
      <w:r>
        <w:t xml:space="preserve">Primary Message</w:t>
      </w:r>
    </w:p>
    <w:p>
      <w:pPr>
        <w:pBdr>
          <w:left w:val="single" w:color="C4A052" w:sz="12" w:space="8"/>
        </w:pBdr>
        <w:spacing w:after="200"/>
        <w:ind w:left="360"/>
      </w:pPr>
      <w:r>
        <w:rPr>
          <w:i/>
          <w:iCs/>
          <w:color w:val="0A1628"/>
          <w:sz w:val="24"/>
          <w:szCs w:val="24"/>
        </w:rPr>
        <w:t xml:space="preserve">Xiphos converts ambiguity into decision-grade outputs. From vendor assurance to mission readiness, we bring case officer tradecraft, counterintelligence discipline, and special operations tempo to the problems that matter most.</w:t>
      </w:r>
    </w:p>
    <w:p>
      <w:pPr>
        <w:pStyle w:val="Heading2"/>
      </w:pPr>
      <w:r>
        <w:t xml:space="preserve">Supporting Messages</w:t>
      </w:r>
    </w:p>
    <w:p>
      <w:pPr>
        <w:pStyle w:val="Heading3"/>
      </w:pPr>
      <w:r>
        <w:t xml:space="preserve">For Capture Teams</w:t>
      </w:r>
    </w:p>
    <w:p>
      <w:pPr>
        <w:spacing w:after="200"/>
      </w:pPr>
      <w:r>
        <w:t xml:space="preserve">First-pass vendor dossiers in hours, not weeks. Sourced evidence, proposal-ready language, and compliance narratives that survive contracting officer review.</w:t>
      </w:r>
    </w:p>
    <w:p>
      <w:pPr>
        <w:pStyle w:val="Heading3"/>
      </w:pPr>
      <w:r>
        <w:t xml:space="preserve">For Program Managers</w:t>
      </w:r>
    </w:p>
    <w:p>
      <w:pPr>
        <w:spacing w:after="200"/>
      </w:pPr>
      <w:r>
        <w:t xml:space="preserve">Continuous supply chain monitoring with real-time alerts. Know when an ownership change, sanctions update, or financial event affects your vendor portfolio.</w:t>
      </w:r>
    </w:p>
    <w:p>
      <w:pPr>
        <w:pStyle w:val="Heading3"/>
      </w:pPr>
      <w:r>
        <w:t xml:space="preserve">For Compliance Officers</w:t>
      </w:r>
    </w:p>
    <w:p>
      <w:pPr>
        <w:spacing w:after="200"/>
      </w:pPr>
      <w:r>
        <w:t xml:space="preserve">10 automated regulatory gates aligned to DFARS, ITAR, EAR, Section 889, CMMC, and CFIUS. Every finding sourced, every gate auditable.</w:t>
      </w:r>
    </w:p>
    <w:p>
      <w:pPr>
        <w:pStyle w:val="Heading3"/>
      </w:pPr>
      <w:r>
        <w:t xml:space="preserve">For Decision Makers</w:t>
      </w:r>
    </w:p>
    <w:p>
      <w:pPr>
        <w:spacing w:after="200"/>
      </w:pPr>
      <w:r>
        <w:t xml:space="preserve">Intelligence-grade risk scoring that tells a story. Not a spreadsheet of data, but a defensible assessment with confidence intervals and recommended actions.</w:t>
      </w:r>
    </w:p>
    <w:p>
      <w:pPr>
        <w:pStyle w:val="Heading3"/>
      </w:pPr>
      <w:r>
        <w:t xml:space="preserve">SDVOSB Advantage</w:t>
      </w:r>
    </w:p>
    <w:p>
      <w:pPr>
        <w:spacing w:after="200"/>
      </w:pPr>
      <w:r>
        <w:t xml:space="preserve">As a certified Service-Disabled Veteran-Owned Small Business, Xiphos is eligible for SDVOSB set-aside contracts. Same capability, preferred procurement vehicle.</w:t>
      </w:r>
    </w:p>
    <w:p>
      <w:r>
        <w:br w:type="page"/>
      </w:r>
    </w:p>
    <w:p>
      <w:pPr>
        <w:pStyle w:val="Heading1"/>
      </w:pPr>
      <w:r>
        <w:t xml:space="preserve">6. Proof Points &amp; Demonstration Capability</w:t>
      </w:r>
    </w:p>
    <w:p>
      <w:pPr>
        <w:pStyle w:val="Heading2"/>
      </w:pPr>
      <w:r>
        <w:t xml:space="preserve">MQ-9 Reaper Supply Chain Analysis</w:t>
      </w:r>
    </w:p>
    <w:p>
      <w:pPr>
        <w:spacing w:after="200"/>
      </w:pPr>
      <w:r>
        <w:t xml:space="preserve">The platform has been validated against a real-world defense supply chain: the MQ-9 Reaper Unmanned Aerial System. 22 vendors across Tiers 0-3 were assessed through the full enrich-and-score pipeline at ELEVATED sensitivity. Results demonstrate meaningful differentiation:</w:t>
      </w:r>
    </w:p>
    <w:p>
      <w:pPr>
        <w:pStyle w:val="ListParagraph"/>
        <w:numPr>
          <w:ilvl w:val="0"/>
          <w:numId w:val="2"/>
        </w:numPr>
        <w:spacing w:after="80"/>
      </w:pPr>
      <w:r>
        <w:rPr>
          <w:sz w:val="20"/>
          <w:szCs w:val="20"/>
        </w:rPr>
        <w:t xml:space="preserve">GA-ASI (Prime Contractor): 11.7% risk, APPROVED. Clean US prime with 30+ years on program.</w:t>
      </w:r>
    </w:p>
    <w:p>
      <w:pPr>
        <w:pStyle w:val="ListParagraph"/>
        <w:numPr>
          <w:ilvl w:val="0"/>
          <w:numId w:val="2"/>
        </w:numPr>
        <w:spacing w:after="80"/>
      </w:pPr>
      <w:r>
        <w:rPr>
          <w:sz w:val="20"/>
          <w:szCs w:val="20"/>
        </w:rPr>
        <w:t xml:space="preserve">Honeywell Aerospace (Sole-Source Engine): 35.4% risk, ENHANCED MONITORING. Flagged for single-source propulsion dependency.</w:t>
      </w:r>
    </w:p>
    <w:p>
      <w:pPr>
        <w:pStyle w:val="ListParagraph"/>
        <w:numPr>
          <w:ilvl w:val="0"/>
          <w:numId w:val="2"/>
        </w:numPr>
        <w:spacing w:after="80"/>
      </w:pPr>
      <w:r>
        <w:rPr>
          <w:sz w:val="20"/>
          <w:szCs w:val="20"/>
        </w:rPr>
        <w:t xml:space="preserve">BAE Systems (UK Allied): 26.7% risk, CONDITIONAL. Foreign ownership from Five Eyes ally, appropriately moderated.</w:t>
      </w:r>
    </w:p>
    <w:p>
      <w:pPr>
        <w:pStyle w:val="ListParagraph"/>
        <w:numPr>
          <w:ilvl w:val="0"/>
          <w:numId w:val="2"/>
        </w:numPr>
        <w:spacing w:after="80"/>
      </w:pPr>
      <w:r>
        <w:rPr>
          <w:sz w:val="20"/>
          <w:szCs w:val="20"/>
        </w:rPr>
        <w:t xml:space="preserve">Turkish Aerospace Industries (State-Owned): 87.2% risk, ELEVATED. Turkish state ownership, competing UAS programs, geopolitical exposure.</w:t>
      </w:r>
    </w:p>
    <w:p>
      <w:pPr>
        <w:pStyle w:val="ListParagraph"/>
        <w:numPr>
          <w:ilvl w:val="0"/>
          <w:numId w:val="2"/>
        </w:numPr>
        <w:spacing w:after="80"/>
      </w:pPr>
      <w:r>
        <w:rPr>
          <w:sz w:val="20"/>
          <w:szCs w:val="20"/>
        </w:rPr>
        <w:t xml:space="preserve">NORINCO Group (Chinese Military Company): 97.2% risk, DISQUALIFIED. Layer 1 NDAA 1260H gate failure. Categorical prohibition.</w:t>
      </w:r>
    </w:p>
    <w:p>
      <w:pPr>
        <w:spacing w:after="200" w:before="200"/>
      </w:pPr>
      <w:r>
        <w:rPr>
          <w:b/>
          <w:bCs/>
        </w:rPr>
        <w:t xml:space="preserve">68.8 percentage point spread</w:t>
      </w:r>
      <w:r>
        <w:t xml:space="preserve"> across the supply chain demonstrates the platform produces meaningful, defensible differentiation, not uniform scores.</w:t>
      </w:r>
    </w:p>
    <w:p>
      <w:pPr>
        <w:pStyle w:val="Heading2"/>
      </w:pPr>
      <w:r>
        <w:t xml:space="preserve">Live Demo Available</w:t>
      </w:r>
    </w:p>
    <w:p>
      <w:pPr>
        <w:spacing w:after="200"/>
      </w:pPr>
      <w:r>
        <w:t xml:space="preserve">The platform is deployed and accessible for live demonstration. Demo includes real-time OSINT enrichment (28 connectors running live), regulatory gate evaluation, FGAMLogit scoring, and dossier generation. Typical demo flow: enter a vendor name, watch enrichment stream in real-time, review risk score with contributing factors, examine regulatory gate results, and export a dossier.</w:t>
      </w:r>
    </w:p>
    <w:p>
      <w:r>
        <w:br w:type="page"/>
      </w:r>
    </w:p>
    <w:p>
      <w:pPr>
        <w:pStyle w:val="Heading1"/>
      </w:pPr>
      <w:r>
        <w:t xml:space="preserve">7. Go-to-Market Strategy</w:t>
      </w:r>
    </w:p>
    <w:p>
      <w:pPr>
        <w:pStyle w:val="Heading2"/>
      </w:pPr>
      <w:r>
        <w:t xml:space="preserve">Target Channels</w:t>
      </w:r>
    </w:p>
    <w:p>
      <w:pPr>
        <w:pStyle w:val="ListParagraph"/>
        <w:numPr>
          <w:ilvl w:val="0"/>
          <w:numId w:val="2"/>
        </w:numPr>
        <w:spacing w:after="80"/>
      </w:pPr>
      <w:r>
        <w:rPr>
          <w:sz w:val="20"/>
          <w:szCs w:val="20"/>
        </w:rPr>
        <w:t xml:space="preserve">SDVOSB set-aside contract vehicles (direct to DoD program offices)</w:t>
      </w:r>
    </w:p>
    <w:p>
      <w:pPr>
        <w:pStyle w:val="ListParagraph"/>
        <w:numPr>
          <w:ilvl w:val="0"/>
          <w:numId w:val="2"/>
        </w:numPr>
        <w:spacing w:after="80"/>
      </w:pPr>
      <w:r>
        <w:rPr>
          <w:sz w:val="20"/>
          <w:szCs w:val="20"/>
        </w:rPr>
        <w:t xml:space="preserve">Defense acquisition conferences (AUSA, NDIA, AFCEA, SOF Week)</w:t>
      </w:r>
    </w:p>
    <w:p>
      <w:pPr>
        <w:pStyle w:val="ListParagraph"/>
        <w:numPr>
          <w:ilvl w:val="0"/>
          <w:numId w:val="2"/>
        </w:numPr>
        <w:spacing w:after="80"/>
      </w:pPr>
      <w:r>
        <w:rPr>
          <w:sz w:val="20"/>
          <w:szCs w:val="20"/>
        </w:rPr>
        <w:t xml:space="preserve">Prime contractor teaming arrangements (as a subcontractor providing vendor assurance)</w:t>
      </w:r>
    </w:p>
    <w:p>
      <w:pPr>
        <w:pStyle w:val="ListParagraph"/>
        <w:numPr>
          <w:ilvl w:val="0"/>
          <w:numId w:val="2"/>
        </w:numPr>
        <w:spacing w:after="80"/>
      </w:pPr>
      <w:r>
        <w:rPr>
          <w:sz w:val="20"/>
          <w:szCs w:val="20"/>
        </w:rPr>
        <w:t xml:space="preserve">Private equity due diligence engagements (defense-focused PE firms)</w:t>
      </w:r>
    </w:p>
    <w:p>
      <w:pPr>
        <w:pStyle w:val="ListParagraph"/>
        <w:numPr>
          <w:ilvl w:val="0"/>
          <w:numId w:val="2"/>
        </w:numPr>
        <w:spacing w:after="80"/>
      </w:pPr>
      <w:r>
        <w:rPr>
          <w:sz w:val="20"/>
          <w:szCs w:val="20"/>
        </w:rPr>
        <w:t xml:space="preserve">Direct outreach to capture management and BD teams at mid-tier defense companies</w:t>
      </w:r>
    </w:p>
    <w:p>
      <w:pPr>
        <w:pStyle w:val="ListParagraph"/>
        <w:numPr>
          <w:ilvl w:val="0"/>
          <w:numId w:val="2"/>
        </w:numPr>
        <w:spacing w:after="80"/>
      </w:pPr>
      <w:r>
        <w:rPr>
          <w:sz w:val="20"/>
          <w:szCs w:val="20"/>
        </w:rPr>
        <w:t xml:space="preserve">LinkedIn thought leadership (OSINT tradecraft, supply chain risk, compliance insights)</w:t>
      </w:r>
    </w:p>
    <w:p>
      <w:pPr>
        <w:pStyle w:val="Heading2"/>
      </w:pPr>
      <w:r>
        <w:t xml:space="preserve">Content Marketing Plan</w:t>
      </w:r>
    </w:p>
    <w:p>
      <w:pPr>
        <w:pStyle w:val="ListParagraph"/>
        <w:numPr>
          <w:ilvl w:val="0"/>
          <w:numId w:val="2"/>
        </w:numPr>
        <w:spacing w:after="80"/>
      </w:pPr>
      <w:r>
        <w:rPr>
          <w:b/>
          <w:bCs/>
          <w:sz w:val="20"/>
          <w:szCs w:val="20"/>
        </w:rPr>
        <w:t xml:space="preserve">White Paper: </w:t>
      </w:r>
      <w:r>
        <w:rPr>
          <w:sz w:val="20"/>
          <w:szCs w:val="20"/>
        </w:rPr>
        <w:t xml:space="preserve">MQ-9 Reaper Supply Chain Risk Analysis (sanitized version of the demonstration report)</w:t>
      </w:r>
    </w:p>
    <w:p>
      <w:pPr>
        <w:pStyle w:val="ListParagraph"/>
        <w:numPr>
          <w:ilvl w:val="0"/>
          <w:numId w:val="2"/>
        </w:numPr>
        <w:spacing w:after="80"/>
      </w:pPr>
      <w:r>
        <w:rPr>
          <w:b/>
          <w:bCs/>
          <w:sz w:val="20"/>
          <w:szCs w:val="20"/>
        </w:rPr>
        <w:t xml:space="preserve">Blog Series: </w:t>
      </w:r>
      <w:r>
        <w:rPr>
          <w:sz w:val="20"/>
          <w:szCs w:val="20"/>
        </w:rPr>
        <w:t xml:space="preserve">5-part series on OSINT for defense acquisition: sanctions screening, ownership analysis, regulatory gates, continuous monitoring, and dossier generation</w:t>
      </w:r>
    </w:p>
    <w:p>
      <w:pPr>
        <w:pStyle w:val="ListParagraph"/>
        <w:numPr>
          <w:ilvl w:val="0"/>
          <w:numId w:val="2"/>
        </w:numPr>
        <w:spacing w:after="80"/>
      </w:pPr>
      <w:r>
        <w:rPr>
          <w:b/>
          <w:bCs/>
          <w:sz w:val="20"/>
          <w:szCs w:val="20"/>
        </w:rPr>
        <w:t xml:space="preserve">Case Study Template: </w:t>
      </w:r>
      <w:r>
        <w:rPr>
          <w:sz w:val="20"/>
          <w:szCs w:val="20"/>
        </w:rPr>
        <w:t xml:space="preserve">Before/after comparison showing manual research vs. Xiphos platform for the same vendor</w:t>
      </w:r>
    </w:p>
    <w:p>
      <w:pPr>
        <w:pStyle w:val="ListParagraph"/>
        <w:numPr>
          <w:ilvl w:val="0"/>
          <w:numId w:val="2"/>
        </w:numPr>
        <w:spacing w:after="80"/>
      </w:pPr>
      <w:r>
        <w:rPr>
          <w:b/>
          <w:bCs/>
          <w:sz w:val="20"/>
          <w:szCs w:val="20"/>
        </w:rPr>
        <w:t xml:space="preserve">One-Pager: </w:t>
      </w:r>
      <w:r>
        <w:rPr>
          <w:sz w:val="20"/>
          <w:szCs w:val="20"/>
        </w:rPr>
        <w:t xml:space="preserve">Platform overview for capture teams: what it does, how fast, what it costs, SDVOSB certification</w:t>
      </w:r>
    </w:p>
    <w:p>
      <w:pPr>
        <w:pStyle w:val="ListParagraph"/>
        <w:numPr>
          <w:ilvl w:val="0"/>
          <w:numId w:val="2"/>
        </w:numPr>
        <w:spacing w:after="80"/>
      </w:pPr>
      <w:r>
        <w:rPr>
          <w:b/>
          <w:bCs/>
          <w:sz w:val="20"/>
          <w:szCs w:val="20"/>
        </w:rPr>
        <w:t xml:space="preserve">Demo Video: </w:t>
      </w:r>
      <w:r>
        <w:rPr>
          <w:sz w:val="20"/>
          <w:szCs w:val="20"/>
        </w:rPr>
        <w:t xml:space="preserve">2-minute walkthrough showing real-time enrichment and scoring of a vendor</w:t>
      </w:r>
    </w:p>
    <w:p>
      <w:pPr>
        <w:pStyle w:val="ListParagraph"/>
        <w:numPr>
          <w:ilvl w:val="0"/>
          <w:numId w:val="2"/>
        </w:numPr>
        <w:spacing w:after="80"/>
      </w:pPr>
      <w:r>
        <w:rPr>
          <w:b/>
          <w:bCs/>
          <w:sz w:val="20"/>
          <w:szCs w:val="20"/>
        </w:rPr>
        <w:t xml:space="preserve">Conference Talk: </w:t>
      </w:r>
      <w:r>
        <w:rPr>
          <w:sz w:val="20"/>
          <w:szCs w:val="20"/>
        </w:rPr>
        <w:t xml:space="preserve">Operational Clarity in Contested Supply Chains: How OSINT and Regulatory Gates Transform Vendor Vetting</w:t>
      </w:r>
    </w:p>
    <w:p>
      <w:pPr>
        <w:pBdr>
          <w:top w:val="single" w:color="C4A052" w:sz="6" w:space="12"/>
        </w:pBdr>
        <w:spacing w:after="200" w:before="400"/>
      </w:pPr>
    </w:p>
    <w:p>
      <w:pPr>
        <w:spacing w:after="100"/>
        <w:jc w:val="center"/>
      </w:pPr>
      <w:r>
        <w:rPr>
          <w:b/>
          <w:bCs/>
          <w:caps/>
          <w:color w:val="C4A052"/>
          <w:spacing w:val="200"/>
          <w:sz w:val="20"/>
          <w:szCs w:val="20"/>
        </w:rPr>
        <w:t xml:space="preserve">XIPHOS LLC</w:t>
      </w:r>
    </w:p>
    <w:p>
      <w:pPr>
        <w:spacing w:after="100"/>
        <w:jc w:val="center"/>
      </w:pPr>
      <w:r>
        <w:rPr>
          <w:i/>
          <w:iCs/>
          <w:color w:val="6B7280"/>
          <w:sz w:val="20"/>
          <w:szCs w:val="20"/>
        </w:rPr>
        <w:t xml:space="preserve">Operational Clarity in Contested Spaces</w:t>
      </w:r>
    </w:p>
    <w:p>
      <w:pPr>
        <w:jc w:val="center"/>
      </w:pPr>
      <w:r>
        <w:rPr>
          <w:color w:val="6B7280"/>
          <w:sz w:val="18"/>
          <w:szCs w:val="18"/>
        </w:rPr>
        <w:t xml:space="preserve">619-905-7040 | tye.gonzalez@xiphosllc.com | San Diego, 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PROPRIETARY &amp; CONFIDENTIAL | Xiphos LLC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XIPHOS VENDOR ASSURANCE PLATFORM | MARKETING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162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2026-03-18T07:36:21.304Z</dcterms:created>
  <dcterms:modified xsi:type="dcterms:W3CDTF">2026-03-18T07:36:21.304Z</dcterms:modified>
</cp:coreProperties>
</file>

<file path=docProps/custom.xml><?xml version="1.0" encoding="utf-8"?>
<Properties xmlns="http://schemas.openxmlformats.org/officeDocument/2006/custom-properties" xmlns:vt="http://schemas.openxmlformats.org/officeDocument/2006/docPropsVTypes"/>
</file>