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A4" w:rsidRDefault="00CB4B02" w:rsidP="000F30AC">
      <w:pPr>
        <w:pStyle w:val="Titre"/>
        <w:jc w:val="center"/>
      </w:pPr>
      <w:r>
        <w:t>Foire à questions SNIIRAM</w:t>
      </w:r>
    </w:p>
    <w:p w:rsidR="00CB4B02" w:rsidRDefault="00CB4B02" w:rsidP="000F30AC">
      <w:pPr>
        <w:pStyle w:val="Titre2"/>
        <w:numPr>
          <w:ilvl w:val="0"/>
          <w:numId w:val="1"/>
        </w:numPr>
      </w:pPr>
      <w:r>
        <w:t>Vaut-il mieux utiliser la table IR_BEN_R ou CONSOPAT.Extractions_Patients2015TR pour avoir un référentiel des bénéficiaires ? (Claire-Lise, 15/3/2017)</w:t>
      </w:r>
    </w:p>
    <w:p w:rsidR="00502C6C" w:rsidRDefault="00502C6C" w:rsidP="000F30AC">
      <w:pPr>
        <w:jc w:val="both"/>
      </w:pPr>
      <w:r>
        <w:t>La table dans CONSOPAT est une extraction de toutes les personnes qui ont consommé au cours de l’année 2015, elle contient moins d’individus que la table IR_BEN_R qui réfère également des personnes qui n’ont pas consommé mais sont remontées dans les bases administratives du régime général et de certains régimes.</w:t>
      </w:r>
    </w:p>
    <w:p w:rsidR="00502C6C" w:rsidRPr="000F30AC" w:rsidRDefault="00502C6C" w:rsidP="000F30AC">
      <w:pPr>
        <w:jc w:val="both"/>
        <w:rPr>
          <w:color w:val="4F81BD" w:themeColor="accent1"/>
        </w:rPr>
      </w:pPr>
      <w:r>
        <w:t xml:space="preserve">Pour plus d’infos : voir </w:t>
      </w:r>
      <w:r w:rsidRPr="00502C6C">
        <w:rPr>
          <w:color w:val="4F81BD" w:themeColor="accent1"/>
        </w:rPr>
        <w:t xml:space="preserve">Référentiel des bénéficiaires du SNIIRAM – Documentation pour les </w:t>
      </w:r>
      <w:r w:rsidRPr="000F30AC">
        <w:rPr>
          <w:color w:val="4F81BD" w:themeColor="accent1"/>
        </w:rPr>
        <w:t>utilisateurs.</w:t>
      </w:r>
    </w:p>
    <w:p w:rsidR="00CB4B02" w:rsidRPr="000F30AC" w:rsidRDefault="000F30AC" w:rsidP="000F30AC">
      <w:pPr>
        <w:pStyle w:val="Titre2"/>
        <w:numPr>
          <w:ilvl w:val="0"/>
          <w:numId w:val="1"/>
        </w:numPr>
        <w:jc w:val="both"/>
      </w:pPr>
      <w:r w:rsidRPr="000F30AC">
        <w:t>Peut-on partager des programmes et des tables entre plusieurs utilisateurs DREES sur le portail du SNIIRAM ? (Engin</w:t>
      </w:r>
      <w:r w:rsidR="003A73DD">
        <w:t xml:space="preserve"> Y.</w:t>
      </w:r>
      <w:r w:rsidRPr="000F30AC">
        <w:t>, 16/3/2017)</w:t>
      </w:r>
    </w:p>
    <w:p w:rsidR="000F30AC" w:rsidRPr="000F30AC" w:rsidRDefault="000F30AC" w:rsidP="000F30AC">
      <w:pPr>
        <w:spacing w:after="0" w:line="240" w:lineRule="auto"/>
        <w:ind w:firstLine="360"/>
        <w:jc w:val="both"/>
        <w:rPr>
          <w:rFonts w:eastAsia="Times New Roman" w:cs="Times New Roman"/>
          <w:sz w:val="24"/>
          <w:szCs w:val="24"/>
          <w:lang w:eastAsia="fr-FR"/>
        </w:rPr>
      </w:pPr>
      <w:r w:rsidRPr="000F30AC">
        <w:rPr>
          <w:rFonts w:eastAsia="Times New Roman" w:cs="Times New Roman"/>
          <w:sz w:val="24"/>
          <w:szCs w:val="24"/>
          <w:u w:val="single"/>
          <w:lang w:eastAsia="fr-FR"/>
        </w:rPr>
        <w:t>1. Les partages de table</w:t>
      </w:r>
    </w:p>
    <w:p w:rsidR="000F30AC" w:rsidRPr="000F30AC" w:rsidRDefault="000F30AC" w:rsidP="000F30A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0F30AC">
        <w:rPr>
          <w:rFonts w:eastAsia="Times New Roman" w:cs="Times New Roman"/>
          <w:sz w:val="24"/>
          <w:szCs w:val="24"/>
          <w:lang w:eastAsia="fr-FR"/>
        </w:rPr>
        <w:t xml:space="preserve">Chaque utilisateur a une bibliothèque SAS PARTAGE où il peut stocker des tables que </w:t>
      </w:r>
      <w:r w:rsidRPr="000F30AC">
        <w:rPr>
          <w:rFonts w:eastAsia="Times New Roman" w:cs="Times New Roman"/>
          <w:b/>
          <w:bCs/>
          <w:sz w:val="24"/>
          <w:szCs w:val="24"/>
          <w:lang w:eastAsia="fr-FR"/>
        </w:rPr>
        <w:t>seul lui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 retrouvera, mais sous </w:t>
      </w:r>
      <w:r w:rsidRPr="000F30AC">
        <w:rPr>
          <w:rFonts w:eastAsia="Times New Roman" w:cs="Times New Roman"/>
          <w:b/>
          <w:bCs/>
          <w:sz w:val="24"/>
          <w:szCs w:val="24"/>
          <w:lang w:eastAsia="fr-FR"/>
        </w:rPr>
        <w:t>chacun de ses profils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, ainsi qu'une bibliothèque PRFEXT où il peut stocker des tables qu'il souhaite partager avec </w:t>
      </w:r>
      <w:r w:rsidRPr="000F30AC">
        <w:rPr>
          <w:rFonts w:eastAsia="Times New Roman" w:cs="Times New Roman"/>
          <w:b/>
          <w:bCs/>
          <w:sz w:val="24"/>
          <w:szCs w:val="24"/>
          <w:lang w:eastAsia="fr-FR"/>
        </w:rPr>
        <w:t>n'importe quel utilisateur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 sous le </w:t>
      </w:r>
      <w:r w:rsidRPr="000F30AC">
        <w:rPr>
          <w:rFonts w:eastAsia="Times New Roman" w:cs="Times New Roman"/>
          <w:b/>
          <w:bCs/>
          <w:sz w:val="24"/>
          <w:szCs w:val="24"/>
          <w:lang w:eastAsia="fr-FR"/>
        </w:rPr>
        <w:t>même profil.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 </w:t>
      </w:r>
    </w:p>
    <w:p w:rsidR="000F30AC" w:rsidRPr="000F30AC" w:rsidRDefault="000F30AC" w:rsidP="000F30A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0F30AC">
        <w:rPr>
          <w:rFonts w:eastAsia="Times New Roman" w:cs="Times New Roman"/>
          <w:sz w:val="24"/>
          <w:szCs w:val="24"/>
          <w:lang w:eastAsia="fr-FR"/>
        </w:rPr>
        <w:t> </w:t>
      </w:r>
    </w:p>
    <w:p w:rsidR="000F30AC" w:rsidRPr="000F30AC" w:rsidRDefault="000F30AC" w:rsidP="000F30A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Ex :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 Layla p</w:t>
      </w:r>
      <w:r>
        <w:rPr>
          <w:rFonts w:eastAsia="Times New Roman" w:cs="Times New Roman"/>
          <w:sz w:val="24"/>
          <w:szCs w:val="24"/>
          <w:lang w:eastAsia="fr-FR"/>
        </w:rPr>
        <w:t>eu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t déposer ses tables sur Partage pour les retrouver sur le profil </w:t>
      </w:r>
      <w:r>
        <w:rPr>
          <w:rFonts w:eastAsia="Times New Roman" w:cs="Times New Roman"/>
          <w:sz w:val="24"/>
          <w:szCs w:val="24"/>
          <w:lang w:eastAsia="fr-FR"/>
        </w:rPr>
        <w:t>à utiliser finalement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 avec le DCIR. Une fois qu'elle est sur ce profil, elle les copie dans </w:t>
      </w:r>
      <w:proofErr w:type="spellStart"/>
      <w:r w:rsidRPr="000F30AC">
        <w:rPr>
          <w:rFonts w:eastAsia="Times New Roman" w:cs="Times New Roman"/>
          <w:sz w:val="24"/>
          <w:szCs w:val="24"/>
          <w:lang w:eastAsia="fr-FR"/>
        </w:rPr>
        <w:t>Prfext</w:t>
      </w:r>
      <w:proofErr w:type="spellEnd"/>
      <w:r w:rsidRPr="000F30AC">
        <w:rPr>
          <w:rFonts w:eastAsia="Times New Roman" w:cs="Times New Roman"/>
          <w:sz w:val="24"/>
          <w:szCs w:val="24"/>
          <w:lang w:eastAsia="fr-FR"/>
        </w:rPr>
        <w:t xml:space="preserve"> pour que le futur chargé d'études puisse les retrouver sur son compte à lui, sous le profil auquel il a accès.</w:t>
      </w:r>
    </w:p>
    <w:p w:rsidR="000F30AC" w:rsidRPr="000F30AC" w:rsidRDefault="000F30AC" w:rsidP="000F30A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! Mise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 en garde sécurité des données : il ne faut pas que ces manipulations entraînent un croisement de données sensibles que nous n'étions pas autorisés à faire sur le profil.</w:t>
      </w:r>
    </w:p>
    <w:p w:rsidR="000F30AC" w:rsidRPr="000F30AC" w:rsidRDefault="000F30AC" w:rsidP="000F30A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0F30AC">
        <w:rPr>
          <w:rFonts w:eastAsia="Times New Roman" w:cs="Times New Roman"/>
          <w:sz w:val="24"/>
          <w:szCs w:val="24"/>
          <w:lang w:eastAsia="fr-FR"/>
        </w:rPr>
        <w:t> </w:t>
      </w:r>
    </w:p>
    <w:p w:rsidR="000F30AC" w:rsidRPr="000F30AC" w:rsidRDefault="000F30AC" w:rsidP="000F30A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0F30AC">
        <w:rPr>
          <w:rFonts w:eastAsia="Times New Roman" w:cs="Times New Roman"/>
          <w:sz w:val="24"/>
          <w:szCs w:val="24"/>
          <w:u w:val="single"/>
          <w:lang w:eastAsia="fr-FR"/>
        </w:rPr>
        <w:t>2. Les partages de projets ou de programmes</w:t>
      </w:r>
    </w:p>
    <w:p w:rsidR="000F30AC" w:rsidRPr="000F30AC" w:rsidRDefault="000F30AC" w:rsidP="000F30A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0F30AC">
        <w:rPr>
          <w:rFonts w:eastAsia="Times New Roman" w:cs="Times New Roman"/>
          <w:sz w:val="24"/>
          <w:szCs w:val="24"/>
          <w:lang w:eastAsia="fr-FR"/>
        </w:rPr>
        <w:t xml:space="preserve">De manière similaire à PRFEXT, chaque utilisateur a un fichier </w:t>
      </w:r>
      <w:proofErr w:type="spellStart"/>
      <w:r w:rsidRPr="000F30AC">
        <w:rPr>
          <w:rFonts w:eastAsia="Times New Roman" w:cs="Times New Roman"/>
          <w:sz w:val="24"/>
          <w:szCs w:val="24"/>
          <w:lang w:eastAsia="fr-FR"/>
        </w:rPr>
        <w:t>pfext</w:t>
      </w:r>
      <w:proofErr w:type="spellEnd"/>
      <w:r w:rsidRPr="000F30AC">
        <w:rPr>
          <w:rFonts w:eastAsia="Times New Roman" w:cs="Times New Roman"/>
          <w:sz w:val="24"/>
          <w:szCs w:val="24"/>
          <w:lang w:eastAsia="fr-FR"/>
        </w:rPr>
        <w:t xml:space="preserve"> dans lequel il peut stocker des pr</w:t>
      </w:r>
      <w:r>
        <w:rPr>
          <w:rFonts w:eastAsia="Times New Roman" w:cs="Times New Roman"/>
          <w:sz w:val="24"/>
          <w:szCs w:val="24"/>
          <w:lang w:eastAsia="fr-FR"/>
        </w:rPr>
        <w:t>o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grammes et projets à échanger avec n'importe quel utilisateur </w:t>
      </w:r>
      <w:r w:rsidRPr="000F30AC">
        <w:rPr>
          <w:rFonts w:eastAsia="Times New Roman" w:cs="Times New Roman"/>
          <w:b/>
          <w:bCs/>
          <w:sz w:val="24"/>
          <w:szCs w:val="24"/>
          <w:lang w:eastAsia="fr-FR"/>
        </w:rPr>
        <w:t>sous le même profil</w:t>
      </w:r>
      <w:r w:rsidRPr="000F30AC">
        <w:rPr>
          <w:rFonts w:eastAsia="Times New Roman" w:cs="Times New Roman"/>
          <w:sz w:val="24"/>
          <w:szCs w:val="24"/>
          <w:lang w:eastAsia="fr-FR"/>
        </w:rPr>
        <w:t>. Pas de fichier de partage entre différents profils.</w:t>
      </w:r>
    </w:p>
    <w:p w:rsidR="000F30AC" w:rsidRPr="000F30AC" w:rsidRDefault="000F30AC" w:rsidP="000F30A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0F30AC">
        <w:rPr>
          <w:rFonts w:eastAsia="Times New Roman" w:cs="Times New Roman"/>
          <w:sz w:val="24"/>
          <w:szCs w:val="24"/>
          <w:lang w:eastAsia="fr-FR"/>
        </w:rPr>
        <w:t> </w:t>
      </w:r>
    </w:p>
    <w:p w:rsidR="000F30AC" w:rsidRPr="000F30AC" w:rsidRDefault="000F30AC" w:rsidP="000F30A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0F30AC">
        <w:rPr>
          <w:rFonts w:eastAsia="Times New Roman" w:cs="Times New Roman"/>
          <w:sz w:val="24"/>
          <w:szCs w:val="24"/>
          <w:lang w:eastAsia="fr-FR"/>
        </w:rPr>
        <w:t xml:space="preserve">En revanche aucun problème pour sauvegarder sur </w:t>
      </w:r>
      <w:r>
        <w:rPr>
          <w:rFonts w:eastAsia="Times New Roman" w:cs="Times New Roman"/>
          <w:sz w:val="24"/>
          <w:szCs w:val="24"/>
          <w:lang w:eastAsia="fr-FR"/>
        </w:rPr>
        <w:t>son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 disque D: perso </w:t>
      </w:r>
      <w:r>
        <w:rPr>
          <w:rFonts w:eastAsia="Times New Roman" w:cs="Times New Roman"/>
          <w:sz w:val="24"/>
          <w:szCs w:val="24"/>
          <w:lang w:eastAsia="fr-FR"/>
        </w:rPr>
        <w:t>ses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 programmes et projets, ce qui </w:t>
      </w:r>
      <w:r>
        <w:rPr>
          <w:rFonts w:eastAsia="Times New Roman" w:cs="Times New Roman"/>
          <w:sz w:val="24"/>
          <w:szCs w:val="24"/>
          <w:lang w:eastAsia="fr-FR"/>
        </w:rPr>
        <w:t>semble</w:t>
      </w:r>
      <w:r w:rsidRPr="000F30AC">
        <w:rPr>
          <w:rFonts w:eastAsia="Times New Roman" w:cs="Times New Roman"/>
          <w:sz w:val="24"/>
          <w:szCs w:val="24"/>
          <w:lang w:eastAsia="fr-FR"/>
        </w:rPr>
        <w:t xml:space="preserve"> le plus simple pour se les échanger</w:t>
      </w:r>
      <w:r>
        <w:rPr>
          <w:rFonts w:eastAsia="Times New Roman" w:cs="Times New Roman"/>
          <w:sz w:val="24"/>
          <w:szCs w:val="24"/>
          <w:lang w:eastAsia="fr-FR"/>
        </w:rPr>
        <w:t>.</w:t>
      </w:r>
    </w:p>
    <w:p w:rsidR="000F30AC" w:rsidRDefault="000F30AC" w:rsidP="000F30AC">
      <w:pPr>
        <w:jc w:val="both"/>
      </w:pPr>
    </w:p>
    <w:p w:rsidR="003A73DD" w:rsidRPr="003A73DD" w:rsidRDefault="003A73DD" w:rsidP="003A73DD">
      <w:pPr>
        <w:pStyle w:val="Titre2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Peut-on trouver dans le SNDS le</w:t>
      </w:r>
      <w:r w:rsidRPr="003A73DD">
        <w:rPr>
          <w:rFonts w:eastAsia="Times New Roman"/>
          <w:lang w:eastAsia="fr-FR"/>
        </w:rPr>
        <w:t>s données du PMSI e</w:t>
      </w:r>
      <w:r>
        <w:rPr>
          <w:rFonts w:eastAsia="Times New Roman"/>
          <w:lang w:eastAsia="fr-FR"/>
        </w:rPr>
        <w:t>n SSR et RIM-P(Psy) du public et du privé ? (Romain R., 3/4/2017)</w:t>
      </w:r>
    </w:p>
    <w:p w:rsidR="003A73DD" w:rsidRPr="003A73DD" w:rsidRDefault="003A73DD" w:rsidP="003A7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3DD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3A73DD" w:rsidRPr="003A73DD" w:rsidRDefault="003A73DD" w:rsidP="003A73DD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A73DD">
        <w:rPr>
          <w:rFonts w:eastAsia="Times New Roman" w:cs="Times New Roman"/>
          <w:sz w:val="24"/>
          <w:szCs w:val="24"/>
          <w:lang w:eastAsia="fr-FR"/>
        </w:rPr>
        <w:t>-</w:t>
      </w:r>
      <w:r w:rsidRPr="003A73DD">
        <w:rPr>
          <w:rFonts w:eastAsia="Times New Roman" w:cs="Times New Roman"/>
          <w:sz w:val="24"/>
          <w:szCs w:val="24"/>
          <w:u w:val="single"/>
          <w:lang w:eastAsia="fr-FR"/>
        </w:rPr>
        <w:t>Le DCIR</w:t>
      </w:r>
      <w:r w:rsidRPr="003A73DD">
        <w:rPr>
          <w:rFonts w:eastAsia="Times New Roman" w:cs="Times New Roman"/>
          <w:sz w:val="24"/>
          <w:szCs w:val="24"/>
          <w:lang w:eastAsia="fr-FR"/>
        </w:rPr>
        <w:t xml:space="preserve"> est apparié au PMSI </w:t>
      </w:r>
      <w:r w:rsidRPr="003A73DD">
        <w:rPr>
          <w:rFonts w:eastAsia="Times New Roman" w:cs="Times New Roman"/>
          <w:b/>
          <w:sz w:val="24"/>
          <w:szCs w:val="24"/>
          <w:lang w:eastAsia="fr-FR"/>
        </w:rPr>
        <w:t>public</w:t>
      </w:r>
      <w:r w:rsidRPr="003A73DD">
        <w:rPr>
          <w:rFonts w:eastAsia="Times New Roman" w:cs="Times New Roman"/>
          <w:sz w:val="24"/>
          <w:szCs w:val="24"/>
          <w:lang w:eastAsia="fr-FR"/>
        </w:rPr>
        <w:t xml:space="preserve"> et </w:t>
      </w:r>
      <w:r w:rsidRPr="003A73DD">
        <w:rPr>
          <w:rFonts w:eastAsia="Times New Roman" w:cs="Times New Roman"/>
          <w:b/>
          <w:sz w:val="24"/>
          <w:szCs w:val="24"/>
          <w:lang w:eastAsia="fr-FR"/>
        </w:rPr>
        <w:t>privé</w:t>
      </w:r>
      <w:r w:rsidRPr="003A73DD">
        <w:rPr>
          <w:rFonts w:eastAsia="Times New Roman" w:cs="Times New Roman"/>
          <w:sz w:val="24"/>
          <w:szCs w:val="24"/>
          <w:lang w:eastAsia="fr-FR"/>
        </w:rPr>
        <w:t xml:space="preserve"> sur les quatre champs, soit MCO, HAD, SSR et RIM-P, en historique depuis 2005, et 2007 pour le RIM-P.</w:t>
      </w:r>
    </w:p>
    <w:p w:rsidR="003A73DD" w:rsidRPr="003A73DD" w:rsidRDefault="003A73DD" w:rsidP="003A73DD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A73DD">
        <w:rPr>
          <w:rFonts w:eastAsia="Times New Roman" w:cs="Times New Roman"/>
          <w:sz w:val="24"/>
          <w:szCs w:val="24"/>
          <w:lang w:eastAsia="fr-FR"/>
        </w:rPr>
        <w:t>Le MCO l'est mensuellement, les autres annuellement.</w:t>
      </w:r>
    </w:p>
    <w:p w:rsidR="003A73DD" w:rsidRPr="003A73DD" w:rsidRDefault="003A73DD" w:rsidP="003A73DD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A73DD">
        <w:rPr>
          <w:rFonts w:eastAsia="Times New Roman" w:cs="Times New Roman"/>
          <w:sz w:val="24"/>
          <w:szCs w:val="24"/>
          <w:lang w:eastAsia="fr-FR"/>
        </w:rPr>
        <w:t> </w:t>
      </w:r>
    </w:p>
    <w:p w:rsidR="003A73DD" w:rsidRPr="003A73DD" w:rsidRDefault="003A73DD" w:rsidP="003A73DD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A73DD">
        <w:rPr>
          <w:rFonts w:eastAsia="Times New Roman" w:cs="Times New Roman"/>
          <w:sz w:val="24"/>
          <w:szCs w:val="24"/>
          <w:lang w:eastAsia="fr-FR"/>
        </w:rPr>
        <w:lastRenderedPageBreak/>
        <w:t xml:space="preserve">- </w:t>
      </w:r>
      <w:r w:rsidRPr="003A73DD">
        <w:rPr>
          <w:rFonts w:eastAsia="Times New Roman" w:cs="Times New Roman"/>
          <w:sz w:val="24"/>
          <w:szCs w:val="24"/>
          <w:u w:val="single"/>
          <w:lang w:eastAsia="fr-FR"/>
        </w:rPr>
        <w:t>L'EGB</w:t>
      </w:r>
      <w:r w:rsidRPr="003A73DD">
        <w:rPr>
          <w:rFonts w:eastAsia="Times New Roman" w:cs="Times New Roman"/>
          <w:sz w:val="24"/>
          <w:szCs w:val="24"/>
          <w:lang w:eastAsia="fr-FR"/>
        </w:rPr>
        <w:t>, lui, ne contient que les tables MCO et HAD, ce qui explique pourquoi les études ne s'appuyaient pas sur le SSR et Psy en public avant notre accès au DCIR.</w:t>
      </w:r>
    </w:p>
    <w:p w:rsidR="003A73DD" w:rsidRDefault="003A73DD" w:rsidP="0060065C">
      <w:pPr>
        <w:spacing w:after="0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383529" w:rsidRPr="003A73DD" w:rsidRDefault="00383529" w:rsidP="00383529">
      <w:pPr>
        <w:pStyle w:val="Titre2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Qu’est-ce qu’une jointure hétérogène</w:t>
      </w:r>
      <w:r>
        <w:rPr>
          <w:rFonts w:eastAsia="Times New Roman"/>
          <w:lang w:eastAsia="fr-FR"/>
        </w:rPr>
        <w:t> ? (</w:t>
      </w:r>
      <w:proofErr w:type="spellStart"/>
      <w:r>
        <w:rPr>
          <w:rFonts w:eastAsia="Times New Roman"/>
          <w:lang w:eastAsia="fr-FR"/>
        </w:rPr>
        <w:t>Kristel</w:t>
      </w:r>
      <w:r>
        <w:rPr>
          <w:rFonts w:eastAsia="Times New Roman"/>
          <w:lang w:eastAsia="fr-FR"/>
        </w:rPr>
        <w:t>.</w:t>
      </w:r>
      <w:r>
        <w:rPr>
          <w:rFonts w:eastAsia="Times New Roman"/>
          <w:lang w:eastAsia="fr-FR"/>
        </w:rPr>
        <w:t>J</w:t>
      </w:r>
      <w:proofErr w:type="spellEnd"/>
      <w:r>
        <w:rPr>
          <w:rFonts w:eastAsia="Times New Roman"/>
          <w:lang w:eastAsia="fr-FR"/>
        </w:rPr>
        <w:t xml:space="preserve">, </w:t>
      </w:r>
      <w:r>
        <w:rPr>
          <w:rFonts w:eastAsia="Times New Roman"/>
          <w:lang w:eastAsia="fr-FR"/>
        </w:rPr>
        <w:t>7</w:t>
      </w:r>
      <w:r>
        <w:rPr>
          <w:rFonts w:eastAsia="Times New Roman"/>
          <w:lang w:eastAsia="fr-FR"/>
        </w:rPr>
        <w:t>/4/2017)</w:t>
      </w:r>
    </w:p>
    <w:p w:rsidR="00383529" w:rsidRDefault="00383529" w:rsidP="0060065C">
      <w:pPr>
        <w:spacing w:after="0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60065C" w:rsidRDefault="0060065C" w:rsidP="0060065C">
      <w:pPr>
        <w:spacing w:after="0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Il s’agit d’une jointure effectuée entre des tables qui se trouvent dans des espaces différents sur le server (Espace ORACLE/Espace SAS). </w:t>
      </w:r>
    </w:p>
    <w:p w:rsidR="00E623D8" w:rsidRPr="00E623D8" w:rsidRDefault="0060065C" w:rsidP="0060065C">
      <w:pPr>
        <w:spacing w:after="0"/>
        <w:jc w:val="both"/>
        <w:rPr>
          <w:rFonts w:eastAsia="Times New Roman" w:cs="Times New Roman"/>
          <w:b/>
          <w:sz w:val="24"/>
          <w:szCs w:val="24"/>
          <w:lang w:eastAsia="fr-FR"/>
        </w:rPr>
      </w:pPr>
      <w:r w:rsidRPr="00E623D8">
        <w:rPr>
          <w:rFonts w:eastAsia="Times New Roman" w:cs="Times New Roman"/>
          <w:b/>
          <w:sz w:val="24"/>
          <w:szCs w:val="24"/>
          <w:lang w:eastAsia="fr-FR"/>
        </w:rPr>
        <w:t xml:space="preserve">Il est très fortement déconseillé d’effectuer ce type de jointures, les performances de la requête seront très mauvaises. </w:t>
      </w:r>
    </w:p>
    <w:p w:rsidR="00E623D8" w:rsidRDefault="00E623D8" w:rsidP="0060065C">
      <w:pPr>
        <w:spacing w:after="0"/>
        <w:jc w:val="both"/>
        <w:rPr>
          <w:rFonts w:eastAsia="Times New Roman" w:cs="Times New Roman"/>
          <w:sz w:val="24"/>
          <w:szCs w:val="24"/>
          <w:lang w:eastAsia="fr-FR"/>
        </w:rPr>
      </w:pPr>
      <w:r w:rsidRPr="00E623D8">
        <w:rPr>
          <w:rFonts w:eastAsia="Times New Roman" w:cs="Times New Roman"/>
          <w:sz w:val="24"/>
          <w:szCs w:val="24"/>
          <w:lang w:eastAsia="fr-FR"/>
        </w:rPr>
        <w:t xml:space="preserve">Si on fait une jointure entre une table ORACLE (dans </w:t>
      </w:r>
      <w:r w:rsidR="00F11223">
        <w:rPr>
          <w:rFonts w:eastAsia="Times New Roman" w:cs="Times New Roman"/>
          <w:sz w:val="24"/>
          <w:szCs w:val="24"/>
          <w:lang w:eastAsia="fr-FR"/>
        </w:rPr>
        <w:t>ORAVUE) et une table SAS</w:t>
      </w:r>
      <w:r w:rsidRPr="00E623D8">
        <w:rPr>
          <w:rFonts w:eastAsia="Times New Roman" w:cs="Times New Roman"/>
          <w:sz w:val="24"/>
          <w:szCs w:val="24"/>
          <w:lang w:eastAsia="fr-FR"/>
        </w:rPr>
        <w:t xml:space="preserve">, SAS va rapatrier la table ORACLE dans la </w:t>
      </w:r>
      <w:r>
        <w:rPr>
          <w:rFonts w:eastAsia="Times New Roman" w:cs="Times New Roman"/>
          <w:sz w:val="24"/>
          <w:szCs w:val="24"/>
          <w:lang w:eastAsia="fr-FR"/>
        </w:rPr>
        <w:t>WORK</w:t>
      </w:r>
      <w:r w:rsidRPr="00E623D8">
        <w:rPr>
          <w:rFonts w:eastAsia="Times New Roman" w:cs="Times New Roman"/>
          <w:sz w:val="24"/>
          <w:szCs w:val="24"/>
          <w:lang w:eastAsia="fr-FR"/>
        </w:rPr>
        <w:t xml:space="preserve"> qui se situe dans l’espace SAS. Comme ces tables sont en général volumineuses, le traitement va échouer pour cause d’une insuffisance d’espace dans la </w:t>
      </w:r>
      <w:r>
        <w:rPr>
          <w:rFonts w:eastAsia="Times New Roman" w:cs="Times New Roman"/>
          <w:sz w:val="24"/>
          <w:szCs w:val="24"/>
          <w:lang w:eastAsia="fr-FR"/>
        </w:rPr>
        <w:t>WORK</w:t>
      </w:r>
      <w:r w:rsidRPr="00E623D8">
        <w:rPr>
          <w:rFonts w:eastAsia="Times New Roman" w:cs="Times New Roman"/>
          <w:sz w:val="24"/>
          <w:szCs w:val="24"/>
          <w:lang w:eastAsia="fr-FR"/>
        </w:rPr>
        <w:t xml:space="preserve"> du serveur</w:t>
      </w:r>
      <w:r>
        <w:rPr>
          <w:rFonts w:eastAsia="Times New Roman" w:cs="Times New Roman"/>
          <w:sz w:val="24"/>
          <w:szCs w:val="24"/>
          <w:lang w:eastAsia="fr-FR"/>
        </w:rPr>
        <w:t xml:space="preserve"> (2 To commun à tous les utilisateurs </w:t>
      </w:r>
      <w:r w:rsidRPr="00E623D8">
        <w:rPr>
          <w:rFonts w:eastAsia="Times New Roman" w:cs="Times New Roman"/>
          <w:sz w:val="24"/>
          <w:szCs w:val="24"/>
          <w:lang w:eastAsia="fr-FR"/>
        </w:rPr>
        <w:sym w:font="Wingdings" w:char="F0E0"/>
      </w:r>
      <w:r>
        <w:rPr>
          <w:rFonts w:eastAsia="Times New Roman" w:cs="Times New Roman"/>
          <w:sz w:val="24"/>
          <w:szCs w:val="24"/>
          <w:lang w:eastAsia="fr-FR"/>
        </w:rPr>
        <w:t xml:space="preserve"> en cas de saturation, tous les utilisateurs sont bloqués !!)</w:t>
      </w:r>
    </w:p>
    <w:p w:rsidR="0060065C" w:rsidRDefault="00E623D8" w:rsidP="0060065C">
      <w:pPr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Donc lorsqu’on effectue une jointure, </w:t>
      </w:r>
      <w:r w:rsidRPr="00E623D8">
        <w:rPr>
          <w:rFonts w:eastAsia="Times New Roman" w:cs="Times New Roman"/>
          <w:b/>
          <w:sz w:val="24"/>
          <w:szCs w:val="24"/>
          <w:lang w:eastAsia="fr-FR"/>
        </w:rPr>
        <w:t>il faut toujours se demander si les bases utilisées se trouvent bien sur le même espace.</w:t>
      </w:r>
    </w:p>
    <w:p w:rsidR="00E623D8" w:rsidRDefault="00E623D8" w:rsidP="0060065C">
      <w:pPr>
        <w:jc w:val="both"/>
        <w:rPr>
          <w:rFonts w:eastAsia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E623D8" w:rsidRPr="0060065C" w:rsidRDefault="00E623D8" w:rsidP="0060065C">
      <w:pPr>
        <w:jc w:val="both"/>
        <w:rPr>
          <w:rFonts w:eastAsia="Times New Roman" w:cs="Times New Roman"/>
          <w:sz w:val="24"/>
          <w:szCs w:val="24"/>
          <w:lang w:eastAsia="fr-FR"/>
        </w:rPr>
      </w:pPr>
    </w:p>
    <w:sectPr w:rsidR="00E623D8" w:rsidRPr="0060065C" w:rsidSect="008E6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DF4"/>
    <w:multiLevelType w:val="hybridMultilevel"/>
    <w:tmpl w:val="C366DA4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481D14"/>
    <w:multiLevelType w:val="hybridMultilevel"/>
    <w:tmpl w:val="1B481E98"/>
    <w:lvl w:ilvl="0" w:tplc="CF3E08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4B02"/>
    <w:rsid w:val="000F30AC"/>
    <w:rsid w:val="00383529"/>
    <w:rsid w:val="003A73DD"/>
    <w:rsid w:val="004E2C5C"/>
    <w:rsid w:val="00502C6C"/>
    <w:rsid w:val="00585D2F"/>
    <w:rsid w:val="0060065C"/>
    <w:rsid w:val="006C6299"/>
    <w:rsid w:val="00732435"/>
    <w:rsid w:val="007D5859"/>
    <w:rsid w:val="008724B0"/>
    <w:rsid w:val="008E60A4"/>
    <w:rsid w:val="00CB4B02"/>
    <w:rsid w:val="00E623D8"/>
    <w:rsid w:val="00F1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A4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4B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4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B4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02C6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F30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5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8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MSS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Dubost Claire-Lise</dc:creator>
  <cp:keywords/>
  <dc:description/>
  <cp:lastModifiedBy>JACQUIER, Kristel (DREES/OSAM/DSRAM)</cp:lastModifiedBy>
  <cp:revision>8</cp:revision>
  <dcterms:created xsi:type="dcterms:W3CDTF">2017-03-15T11:14:00Z</dcterms:created>
  <dcterms:modified xsi:type="dcterms:W3CDTF">2017-06-20T07:45:00Z</dcterms:modified>
</cp:coreProperties>
</file>