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008" w:rsidRDefault="00943008" w:rsidP="00943008">
      <w:pPr>
        <w:pStyle w:val="1"/>
        <w:jc w:val="center"/>
        <w:rPr>
          <w:rFonts w:hint="eastAsia"/>
        </w:rPr>
      </w:pPr>
      <w:r>
        <w:rPr>
          <w:rFonts w:hint="eastAsia"/>
        </w:rPr>
        <w:t>框架说明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43008">
        <w:rPr>
          <w:rFonts w:ascii="Microsoft Yahei" w:eastAsia="微软雅黑" w:hAnsi="Microsoft Yahei" w:cs="宋体" w:hint="eastAsia"/>
          <w:color w:val="000000"/>
          <w:kern w:val="0"/>
          <w:szCs w:val="21"/>
        </w:rPr>
        <w:t>框架基于</w:t>
      </w:r>
      <w:r w:rsidRPr="00943008">
        <w:rPr>
          <w:rFonts w:ascii="Microsoft Yahei" w:eastAsia="微软雅黑" w:hAnsi="Microsoft Yahei" w:cs="宋体" w:hint="eastAsia"/>
          <w:color w:val="333333"/>
          <w:kern w:val="0"/>
          <w:szCs w:val="21"/>
          <w:shd w:val="clear" w:color="auto" w:fill="FFFFFF"/>
        </w:rPr>
        <w:t xml:space="preserve">Microsoft </w:t>
      </w:r>
      <w:r w:rsidRPr="00943008">
        <w:rPr>
          <w:rFonts w:ascii="Microsoft Yahei" w:eastAsia="微软雅黑" w:hAnsi="Microsoft Yahei" w:cs="宋体" w:hint="eastAsia"/>
          <w:color w:val="333333"/>
          <w:kern w:val="0"/>
          <w:szCs w:val="21"/>
          <w:shd w:val="clear" w:color="auto" w:fill="FFFFFF"/>
        </w:rPr>
        <w:t>–</w:t>
      </w:r>
      <w:r w:rsidRPr="00943008">
        <w:rPr>
          <w:rFonts w:ascii="Microsoft Yahei" w:eastAsia="微软雅黑" w:hAnsi="Microsoft Yahei" w:cs="宋体" w:hint="eastAsia"/>
          <w:color w:val="333333"/>
          <w:kern w:val="0"/>
          <w:szCs w:val="21"/>
          <w:shd w:val="clear" w:color="auto" w:fill="FFFFFF"/>
        </w:rPr>
        <w:t xml:space="preserve"> Spain</w:t>
      </w:r>
      <w:r w:rsidRPr="00943008">
        <w:rPr>
          <w:rFonts w:ascii="Microsoft Yahei" w:eastAsia="微软雅黑" w:hAnsi="Microsoft Yahei" w:cs="宋体" w:hint="eastAsia"/>
          <w:color w:val="333333"/>
          <w:kern w:val="0"/>
          <w:szCs w:val="21"/>
          <w:shd w:val="clear" w:color="auto" w:fill="FFFFFF"/>
        </w:rPr>
        <w:t>团队有一个很不错的“面向领域多层分布式项目”案例改造实现（案例在</w:t>
      </w:r>
      <w:proofErr w:type="spellStart"/>
      <w:r w:rsidRPr="00943008">
        <w:rPr>
          <w:rFonts w:ascii="Microsoft Yahei" w:eastAsia="微软雅黑" w:hAnsi="Microsoft Yahei" w:cs="宋体" w:hint="eastAsia"/>
          <w:color w:val="333333"/>
          <w:kern w:val="0"/>
          <w:szCs w:val="21"/>
          <w:shd w:val="clear" w:color="auto" w:fill="FFFFFF"/>
        </w:rPr>
        <w:t>codeplex</w:t>
      </w:r>
      <w:proofErr w:type="spellEnd"/>
      <w:r w:rsidRPr="00943008">
        <w:rPr>
          <w:rFonts w:ascii="Microsoft Yahei" w:eastAsia="微软雅黑" w:hAnsi="Microsoft Yahei" w:cs="宋体" w:hint="eastAsia"/>
          <w:color w:val="333333"/>
          <w:kern w:val="0"/>
          <w:szCs w:val="21"/>
          <w:shd w:val="clear" w:color="auto" w:fill="FFFFFF"/>
        </w:rPr>
        <w:t>上的地址为：</w:t>
      </w:r>
      <w:r w:rsidRPr="00943008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943008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"http://microsoftnlayerapp.codeplex.com/" </w:instrText>
      </w:r>
      <w:r w:rsidRPr="00943008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943008">
        <w:rPr>
          <w:rFonts w:ascii="微软雅黑" w:eastAsia="微软雅黑" w:hAnsi="微软雅黑" w:cs="宋体" w:hint="eastAsia"/>
          <w:color w:val="0000FF"/>
          <w:kern w:val="0"/>
          <w:szCs w:val="21"/>
          <w:u w:val="single"/>
        </w:rPr>
        <w:t>http://microsoftnlayerapp.codeplex.com/</w:t>
      </w:r>
      <w:r w:rsidRPr="00943008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，关于此案例的分析也可参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考：</w:t>
      </w:r>
      <w:hyperlink r:id="rId5" w:history="1">
        <w:r w:rsidRPr="00943008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http://www.cnblogs.com/daxnet/archive/2011/03/01/1967896.html</w:t>
        </w:r>
      </w:hyperlink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）。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943008" w:rsidRPr="00943008" w:rsidRDefault="00943008" w:rsidP="00943008">
      <w:pPr>
        <w:widowControl/>
        <w:jc w:val="left"/>
        <w:rPr>
          <w:rFonts w:ascii="Microsoft Yahei" w:eastAsia="宋体" w:hAnsi="Microsoft Yahei" w:cs="宋体" w:hint="eastAsia"/>
          <w:color w:val="333333"/>
          <w:kern w:val="0"/>
          <w:szCs w:val="21"/>
          <w:shd w:val="clear" w:color="auto" w:fill="FFFFFF"/>
        </w:rPr>
      </w:pPr>
    </w:p>
    <w:p w:rsidR="00943008" w:rsidRPr="00943008" w:rsidRDefault="00943008" w:rsidP="009430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008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1</w:t>
      </w:r>
      <w:r w:rsidRPr="00943008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、项目基本架构介绍</w:t>
      </w: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057650" cy="3124200"/>
            <wp:effectExtent l="0" t="0" r="0" b="0"/>
            <wp:docPr id="12" name="图片 12" descr="C:\Users\waltleaf\AppData\Local\YNote\Data\hzy075@163.com\573d7545a2ac4e38bc57a3e26e8c6d6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ltleaf\AppData\Local\YNote\Data\hzy075@163.com\573d7545a2ac4e38bc57a3e26e8c6d65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1.1、结合项目的分层为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1.0-Presentation              表现层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1.1-Distributed Services  网络边界，数据传输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1.2-Application               应用层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1.3-Domain                     领域层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1.4-Infrastructure            基础结构层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1.</w:t>
      </w:r>
      <w:r w:rsidR="00B972D6">
        <w:rPr>
          <w:rFonts w:ascii="微软雅黑" w:eastAsia="微软雅黑" w:hAnsi="微软雅黑" w:cs="宋体" w:hint="eastAsia"/>
          <w:color w:val="000000"/>
          <w:kern w:val="0"/>
          <w:szCs w:val="21"/>
        </w:rPr>
        <w:t>0</w:t>
      </w: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、表现层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项目定位为</w:t>
      </w:r>
      <w:proofErr w:type="gramStart"/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单服务端</w:t>
      </w:r>
      <w:proofErr w:type="gramEnd"/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，多客户端的结构，有手机客户端和网站两种客户端，其中手机客户端又分为</w:t>
      </w:r>
      <w:proofErr w:type="spellStart"/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iOS</w:t>
      </w:r>
      <w:proofErr w:type="spellEnd"/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，Android、WP客户端。在客户端，用户登录、注销、查看管理自己、别人定义的股票公式等操作。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1.</w:t>
      </w:r>
      <w:r w:rsidR="00B972D6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、数据传输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这里定义</w:t>
      </w:r>
      <w:proofErr w:type="gramStart"/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服务端跟客户端</w:t>
      </w:r>
      <w:proofErr w:type="gramEnd"/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连接的接口。服务契约，服务宿主等信息。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1.</w:t>
      </w:r>
      <w:r w:rsidR="00B972D6"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、应用层</w:t>
      </w:r>
      <w:bookmarkStart w:id="0" w:name="_GoBack"/>
      <w:bookmarkEnd w:id="0"/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这里定义了传输</w:t>
      </w:r>
      <w:proofErr w:type="gramStart"/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层对象</w:t>
      </w:r>
      <w:proofErr w:type="spellStart"/>
      <w:proofErr w:type="gramEnd"/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Dto</w:t>
      </w:r>
      <w:proofErr w:type="spellEnd"/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，以及与领域</w:t>
      </w:r>
      <w:proofErr w:type="gramStart"/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层对象</w:t>
      </w:r>
      <w:proofErr w:type="gramEnd"/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Entity的转换，用</w:t>
      </w:r>
      <w:proofErr w:type="spellStart"/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Automapper</w:t>
      </w:r>
      <w:proofErr w:type="spellEnd"/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实现。另外还调度和协调领域层的服务。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1.</w:t>
      </w:r>
      <w:r w:rsidR="00B972D6"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、领域层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这里定义了领域层实体对象Entity以及领域服务。实体、聚合根、仓储接口，事务处理等。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1.</w:t>
      </w:r>
      <w:r w:rsidR="00B972D6"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、基础结构层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这里有仓储的具体实现，通过依赖注入的方式提供</w:t>
      </w:r>
      <w:proofErr w:type="gramStart"/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给领域</w:t>
      </w:r>
      <w:proofErr w:type="gramEnd"/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服务调用。定义Log、加解密等在上面几个层都可能会用的与业务无关的东西。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2</w:t>
      </w:r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、代码分析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2.1</w:t>
      </w:r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、</w:t>
      </w:r>
      <w:proofErr w:type="spellStart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Framework.Core</w:t>
      </w:r>
      <w:proofErr w:type="spellEnd"/>
      <w:proofErr w:type="gramStart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这个解决</w:t>
      </w:r>
      <w:proofErr w:type="gramEnd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方案主要是对各个分层的抽象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lastRenderedPageBreak/>
        <w:t>Framework.Core</w:t>
      </w:r>
      <w:proofErr w:type="spellEnd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的</w:t>
      </w:r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1.1-Distributed Services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8439150" cy="2266950"/>
            <wp:effectExtent l="0" t="0" r="0" b="0"/>
            <wp:docPr id="11" name="图片 11" descr="C:\Users\waltleaf\AppData\Local\YNote\Data\hzy075@163.com\f86c5a1c8efa4373b95b05532235e0d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ltleaf\AppData\Local\YNote\Data\hzy075@163.com\f86c5a1c8efa4373b95b05532235e0dc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这里主要是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Framework.Core</w:t>
      </w:r>
      <w:proofErr w:type="spellEnd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的</w:t>
      </w:r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1.2-Application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867150" cy="3124200"/>
            <wp:effectExtent l="0" t="0" r="0" b="0"/>
            <wp:docPr id="10" name="图片 10" descr="C:\Users\waltleaf\AppData\Local\YNote\Data\hzy075@163.com\517b1eb97fd1434294bcc2225de7979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ltleaf\AppData\Local\YNote\Data\hzy075@163.com\517b1eb97fd1434294bcc2225de79799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这里主要是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Framework.Core</w:t>
      </w:r>
      <w:proofErr w:type="spellEnd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的</w:t>
      </w: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1.3-Domain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1430000" cy="5295900"/>
            <wp:effectExtent l="0" t="0" r="0" b="0"/>
            <wp:docPr id="9" name="图片 9" descr="C:\Users\waltleaf\AppData\Local\YNote\Data\hzy075@163.com\8f5f19fb2f8849e7bee5d0181ba596b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ltleaf\AppData\Local\YNote\Data\hzy075@163.com\8f5f19fb2f8849e7bee5d0181ba596b8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这里定义了实体接口，抽象类，聚合根，事务处理，已经查询用的多种表达式扩展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Framework.Core</w:t>
      </w:r>
      <w:proofErr w:type="spellEnd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的</w:t>
      </w: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1.4-Infrastructure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7391400" cy="2247900"/>
            <wp:effectExtent l="0" t="0" r="0" b="0"/>
            <wp:docPr id="8" name="图片 8" descr="C:\Users\waltleaf\AppData\Local\YNote\Data\hzy075@163.com\69249757982a4597bb7a05a4441698f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ltleaf\AppData\Local\YNote\Data\hzy075@163.com\69249757982a4597bb7a05a4441698f5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这个程序</w:t>
      </w:r>
      <w:proofErr w:type="gramStart"/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集主要</w:t>
      </w:r>
      <w:proofErr w:type="gramEnd"/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用于数据的仓储，使用EF作为ORM框架，定义用EF进行仓储的接口以及抽象类，还有事务处理的实现。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296025" cy="3457575"/>
            <wp:effectExtent l="0" t="0" r="9525" b="9525"/>
            <wp:docPr id="7" name="图片 7" descr="C:\Users\waltleaf\AppData\Local\YNote\Data\hzy075@163.com\e22db2d0c74448b8a6e397fec4eeb64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ltleaf\AppData\Local\YNote\Data\hzy075@163.com\e22db2d0c74448b8a6e397fec4eeb640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这个程序集定义了一些公共的服务接口，ID生成，Log记录，类型映射、加密，数据校验。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438775" cy="3429000"/>
            <wp:effectExtent l="0" t="0" r="9525" b="0"/>
            <wp:docPr id="6" name="图片 6" descr="C:\Users\waltleaf\AppData\Local\YNote\Data\hzy075@163.com\595de1a99b364e6fa398b296165bd26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ltleaf\AppData\Local\YNote\Data\hzy075@163.com\595de1a99b364e6fa398b296165bd264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这个程序集是对上面公共服务接口的实现。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2.2</w:t>
      </w:r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、</w:t>
      </w:r>
      <w:proofErr w:type="spellStart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PredictFuture</w:t>
      </w:r>
      <w:proofErr w:type="spellEnd"/>
      <w:proofErr w:type="gramStart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这个解决</w:t>
      </w:r>
      <w:proofErr w:type="gramEnd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方案实现具体业务。解决方案现在仅将同花</w:t>
      </w:r>
      <w:proofErr w:type="gramStart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顺股票</w:t>
      </w:r>
      <w:proofErr w:type="gramEnd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软件的数据</w:t>
      </w:r>
      <w:proofErr w:type="gramStart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解析按</w:t>
      </w:r>
      <w:proofErr w:type="gramEnd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分层架构接入了进来。后续会有更多的业务接入进来。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PredictFuture</w:t>
      </w:r>
      <w:proofErr w:type="spellEnd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的</w:t>
      </w:r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1.0-Presentation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314700" cy="2800350"/>
            <wp:effectExtent l="0" t="0" r="0" b="0"/>
            <wp:docPr id="5" name="图片 5" descr="C:\Users\waltleaf\AppData\Local\YNote\Data\hzy075@163.com\e9a32fef190f4a9a98f8c4b2468620b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altleaf\AppData\Local\YNote\Data\hzy075@163.com\e9a32fef190f4a9a98f8c4b2468620ba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表现层的实现都在这里，现在这里仅有个用于同花</w:t>
      </w:r>
      <w:proofErr w:type="gramStart"/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顺股票</w:t>
      </w:r>
      <w:proofErr w:type="gramEnd"/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数据解析的测试Form，后续Web客户端，手机客户端都将在这里管理。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PredictFuture</w:t>
      </w:r>
      <w:proofErr w:type="spellEnd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的</w:t>
      </w:r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1.1-DistributedService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076700" cy="2809875"/>
            <wp:effectExtent l="0" t="0" r="0" b="9525"/>
            <wp:docPr id="4" name="图片 4" descr="C:\Users\waltleaf\AppData\Local\YNote\Data\hzy075@163.com\3bc81263dc2d4e58a0c5631dc023128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altleaf\AppData\Local\YNote\Data\hzy075@163.com\3bc81263dc2d4e58a0c5631dc0231283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分布式服务写在这里。K</w:t>
      </w:r>
      <w:proofErr w:type="gramStart"/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线数据</w:t>
      </w:r>
      <w:proofErr w:type="gramEnd"/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读取服务定义。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PredictFuture</w:t>
      </w:r>
      <w:proofErr w:type="spellEnd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的</w:t>
      </w: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1.2-Application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7067550" cy="2533650"/>
            <wp:effectExtent l="0" t="0" r="0" b="0"/>
            <wp:docPr id="3" name="图片 3" descr="C:\Users\waltleaf\AppData\Local\YNote\Data\hzy075@163.com\12932a1a2fde4171bab917161a817a8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altleaf\AppData\Local\YNote\Data\hzy075@163.com\12932a1a2fde4171bab917161a817a80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K</w:t>
      </w:r>
      <w:proofErr w:type="gramStart"/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线数据</w:t>
      </w:r>
      <w:proofErr w:type="gramEnd"/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的</w:t>
      </w:r>
      <w:proofErr w:type="spellStart"/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Dto</w:t>
      </w:r>
      <w:proofErr w:type="spellEnd"/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定义，领域层解析服务的调用。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PredictFuture</w:t>
      </w:r>
      <w:proofErr w:type="spellEnd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的</w:t>
      </w:r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1.3-Domain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257675" cy="2200275"/>
            <wp:effectExtent l="0" t="0" r="9525" b="9525"/>
            <wp:docPr id="2" name="图片 2" descr="C:\Users\waltleaf\AppData\Local\YNote\Data\hzy075@163.com\123c9ed8f0b14d0db3f7906eed38665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altleaf\AppData\Local\YNote\Data\hzy075@163.com\123c9ed8f0b14d0db3f7906eed386656\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K线数实体定义、服务定义，仓储接口定义。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PredictFuture</w:t>
      </w:r>
      <w:proofErr w:type="spellEnd"/>
      <w:r w:rsidRPr="00943008">
        <w:rPr>
          <w:rFonts w:ascii="Microsoft Yahei" w:eastAsia="微软雅黑" w:hAnsi="Microsoft Yahei" w:cs="宋体"/>
          <w:color w:val="333333"/>
          <w:kern w:val="0"/>
          <w:szCs w:val="21"/>
          <w:shd w:val="clear" w:color="auto" w:fill="FFFFFF"/>
        </w:rPr>
        <w:t>的</w:t>
      </w: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1.4-Infrastructure</w:t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372225" cy="2733675"/>
            <wp:effectExtent l="0" t="0" r="9525" b="9525"/>
            <wp:docPr id="1" name="图片 1" descr="C:\Users\waltleaf\AppData\Local\YNote\Data\hzy075@163.com\5cd9ca91b6bb4b9cafe091b76a799b3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ltleaf\AppData\Local\YNote\Data\hzy075@163.com\5cd9ca91b6bb4b9cafe091b76a799b31\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08" w:rsidRPr="00943008" w:rsidRDefault="00943008" w:rsidP="009430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同花</w:t>
      </w:r>
      <w:proofErr w:type="gramStart"/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顺数据</w:t>
      </w:r>
      <w:proofErr w:type="gramEnd"/>
      <w:r w:rsidRPr="00943008">
        <w:rPr>
          <w:rFonts w:ascii="微软雅黑" w:eastAsia="微软雅黑" w:hAnsi="微软雅黑" w:cs="宋体" w:hint="eastAsia"/>
          <w:color w:val="000000"/>
          <w:kern w:val="0"/>
          <w:szCs w:val="21"/>
        </w:rPr>
        <w:t>解析的具体逻辑，仓储的实现都在此。</w:t>
      </w:r>
    </w:p>
    <w:p w:rsidR="001F6811" w:rsidRPr="00943008" w:rsidRDefault="001F6811"/>
    <w:sectPr w:rsidR="001F6811" w:rsidRPr="00943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41A"/>
    <w:rsid w:val="001F6811"/>
    <w:rsid w:val="00943008"/>
    <w:rsid w:val="00B972D6"/>
    <w:rsid w:val="00D5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0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4300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430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30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300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0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4300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430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30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300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544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815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1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9292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7469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6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6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7708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3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98359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7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7312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15809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8139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82744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5541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76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02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0909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1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893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30762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980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03539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04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636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6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852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8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153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10653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3921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32539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03787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09596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321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9288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0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1848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7036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9610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78568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5140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24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4132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93082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21020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437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39503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0762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8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58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568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8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1854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12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0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15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70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3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02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3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91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2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49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8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30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58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02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40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49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42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nblogs.com/daxnet/archive/2011/03/01/1967896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waltleaf</dc:creator>
  <cp:keywords/>
  <dc:description/>
  <cp:lastModifiedBy>waltleaf</cp:lastModifiedBy>
  <cp:revision>3</cp:revision>
  <dcterms:created xsi:type="dcterms:W3CDTF">2014-01-05T11:20:00Z</dcterms:created>
  <dcterms:modified xsi:type="dcterms:W3CDTF">2014-01-05T11:22:00Z</dcterms:modified>
</cp:coreProperties>
</file>