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27500A"/>
          <w:sz w:val="52"/>
          <w:szCs w:val="52"/>
        </w:rPr>
        <w:t xml:space="preserve">BSFL Commercial Business</w:t>
      </w:r>
    </w:p>
    <w:p>
      <w:pPr>
        <w:spacing w:after="60" w:before="0"/>
      </w:pPr>
      <w:r>
        <w:rPr>
          <w:rFonts w:ascii="Arial" w:cs="Arial" w:eastAsia="Arial" w:hAnsi="Arial"/>
          <w:b/>
          <w:bCs/>
          <w:color w:val="4A4A4A"/>
          <w:sz w:val="36"/>
          <w:szCs w:val="36"/>
        </w:rPr>
        <w:t xml:space="preserve">Context Export — New Chat Prompt</w:t>
      </w:r>
    </w:p>
    <w:p>
      <w:pPr>
        <w:pBdr>
          <w:bottom w:val="single" w:color="1A1A1A" w:sz="8" w:space="1"/>
        </w:pBdr>
        <w:spacing w:after="200"/>
      </w:pPr>
      <w:r>
        <w:rPr>
          <w:rFonts w:ascii="Arial" w:cs="Arial" w:eastAsia="Arial" w:hAnsi="Arial"/>
          <w:color w:val="888888"/>
          <w:sz w:val="20"/>
          <w:szCs w:val="20"/>
        </w:rPr>
        <w:t xml:space="preserve">Lockyer Valley QLD · April 2026 · Hermetia illucens</w:t>
      </w:r>
    </w:p>
    <w:p>
      <w:pPr>
        <w:pStyle w:val="Heading1"/>
        <w:pBdr>
          <w:bottom w:val="single" w:color="1A1A1A" w:sz="6" w:space="1"/>
        </w:pBdr>
        <w:spacing w:after="120" w:before="280"/>
      </w:pPr>
      <w:r>
        <w:rPr>
          <w:rFonts w:ascii="Arial" w:cs="Arial" w:eastAsia="Arial" w:hAnsi="Arial"/>
          <w:b/>
          <w:bCs/>
          <w:color w:val="1A1A1A"/>
          <w:sz w:val="32"/>
          <w:szCs w:val="32"/>
        </w:rPr>
        <w:t xml:space="preserve">Project Overview</w:t>
      </w:r>
    </w:p>
    <w:p>
      <w:pPr>
        <w:spacing w:after="80"/>
      </w:pPr>
      <w:r>
        <w:rPr>
          <w:rFonts w:ascii="Arial" w:cs="Arial" w:eastAsia="Arial" w:hAnsi="Arial"/>
          <w:b w:val="false"/>
          <w:bCs w:val="false"/>
          <w:i w:val="false"/>
          <w:iCs w:val="false"/>
          <w:color w:val="1A1A1A"/>
          <w:sz w:val="20"/>
          <w:szCs w:val="20"/>
        </w:rPr>
        <w:t xml:space="preserve">You are continuing a detailed business planning conversation for a commercial Black Soldier Fly Larvae (BSFL / Hermetia illucens) operation in the Lockyer Valley, Queensland, Australia. The operator has prior experience breeding BSFL for the pet consumption market. The business has been planned in full across product development, regulatory compliance, financial projections, partner structure, long-term scale-up, and now moves into physical infrastructure and growing system design.</w:t>
      </w:r>
    </w:p>
    <w:p>
      <w:pPr>
        <w:spacing w:after="0" w:before="80"/>
      </w:pPr>
      <w:r>
        <w:t xml:space="preserve"/>
      </w:r>
    </w:p>
    <w:p>
      <w:pPr>
        <w:pStyle w:val="Heading2"/>
        <w:spacing w:after="80" w:before="200"/>
      </w:pPr>
      <w:r>
        <w:rPr>
          <w:rFonts w:ascii="Arial" w:cs="Arial" w:eastAsia="Arial" w:hAnsi="Arial"/>
          <w:b/>
          <w:bCs/>
          <w:color w:val="4A4A4A"/>
          <w:sz w:val="24"/>
          <w:szCs w:val="24"/>
        </w:rPr>
        <w:t xml:space="preserve">Key Business Facts</w:t>
      </w:r>
    </w:p>
    <w:tbl>
      <w:tblPr>
        <w:tblW w:type="dxa" w:w="9746"/>
      </w:tblPr>
      <w:tblGrid>
        <w:gridCol w:w="2800"/>
        <w:gridCol w:w="6946"/>
      </w:tblGrid>
      <w:tr>
        <w:tc>
          <w:tcPr>
            <w:tcW w:type="dxa" w:w="28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Parameter</w:t>
            </w:r>
          </w:p>
        </w:tc>
        <w:tc>
          <w:tcPr>
            <w:tcW w:type="dxa" w:w="6946"/>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Detail</w:t>
            </w:r>
          </w:p>
        </w:tc>
      </w:tr>
      <w:tr>
        <w:tc>
          <w:tcPr>
            <w:tcW w:type="dxa" w:w="2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Location</w:t>
            </w:r>
          </w:p>
        </w:tc>
        <w:tc>
          <w:tcPr>
            <w:tcW w:type="dxa" w:w="6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Lockyer Valley, Queensland — ~90 min from Brisbane. Property is rural/agricultural. Winters drop below 0°C.</w:t>
            </w:r>
          </w:p>
        </w:tc>
      </w:tr>
      <w:tr>
        <w:tc>
          <w:tcPr>
            <w:tcW w:type="dxa" w:w="2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Business structure</w:t>
            </w:r>
          </w:p>
        </w:tc>
        <w:tc>
          <w:tcPr>
            <w:tcW w:type="dxa" w:w="6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Pty Ltd company. Equity: 51% operator (on-farm, all physical work, BSc biology + management), 49% partner (Brisbane-based, IT/systems/founder background, remote). Partner roles formally documented.</w:t>
            </w:r>
          </w:p>
        </w:tc>
      </w:tr>
      <w:tr>
        <w:tc>
          <w:tcPr>
            <w:tcW w:type="dxa" w:w="2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Primary products</w:t>
            </w:r>
          </w:p>
        </w:tc>
        <w:tc>
          <w:tcPr>
            <w:tcW w:type="dxa" w:w="6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Live BSFL ($28/kg), dried BSFL ($80/kg), frass fertiliser ($11/kg), agricultural chitin powder ($30/kg, from month 5). Biodiesel is a long-term Phase 4 option.</w:t>
            </w:r>
          </w:p>
        </w:tc>
      </w:tr>
      <w:tr>
        <w:tc>
          <w:tcPr>
            <w:tcW w:type="dxa" w:w="2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Revenue target</w:t>
            </w:r>
          </w:p>
        </w:tc>
        <w:tc>
          <w:tcPr>
            <w:tcW w:type="dxa" w:w="6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$25,000 by December 2026 (Year 1, May–Dec). Realistic projection: ~$42,000–55,000 net profit at 65–77% margin once all costs included.</w:t>
            </w:r>
          </w:p>
        </w:tc>
      </w:tr>
      <w:tr>
        <w:tc>
          <w:tcPr>
            <w:tcW w:type="dxa" w:w="2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Waste feedstock</w:t>
            </w:r>
          </w:p>
        </w:tc>
        <w:tc>
          <w:tcPr>
            <w:tcW w:type="dxa" w:w="6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Organic food waste collected free from local cafes, bakeries, food manufacturers in Gatton/Laidley/Toowoomba. Tipping fees (Year 2+). No animal-origin material — vegetable/fruit waste only for regulatory compliance.</w:t>
            </w:r>
          </w:p>
        </w:tc>
      </w:tr>
      <w:tr>
        <w:tc>
          <w:tcPr>
            <w:tcW w:type="dxa" w:w="2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Labour model</w:t>
            </w:r>
          </w:p>
        </w:tc>
        <w:tc>
          <w:tcPr>
            <w:tcW w:type="dxa" w:w="6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30 hrs/week operator. 22 hrs physical, 8 hrs admin/orders. Casual help at $35/hr from month 7 (8 hrs/wk). Credit card for cash flow. No heavy machinery until funded from profits.</w:t>
            </w:r>
          </w:p>
        </w:tc>
      </w:tr>
      <w:tr>
        <w:tc>
          <w:tcPr>
            <w:tcW w:type="dxa" w:w="2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Council / govt strategy</w:t>
            </w:r>
          </w:p>
        </w:tc>
        <w:tc>
          <w:tcPr>
            <w:tcW w:type="dxa" w:w="6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Approach Lockyer Valley Regional Council at 6 months with operating data. Target council waste processing contracts at years 2–3. SEQ City Deal ($54M organics infrastructure) and ARENA grants are medium-term funding targets.</w:t>
            </w:r>
          </w:p>
        </w:tc>
      </w:tr>
      <w:tr>
        <w:tc>
          <w:tcPr>
            <w:tcW w:type="dxa" w:w="2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Third partner</w:t>
            </w:r>
          </w:p>
        </w:tc>
        <w:tc>
          <w:tcPr>
            <w:tcW w:type="dxa" w:w="6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Jessica Lew (Senior Consultant, Social Performance &amp; Project Approvals, Attexo/APEM Group) — advisory/retainer role now, equity option tied to first council contract or successful grant application.</w:t>
            </w:r>
          </w:p>
        </w:tc>
      </w:tr>
    </w:tbl>
    <w:p>
      <w:pPr>
        <w:spacing w:after="0" w:before="120"/>
      </w:pPr>
      <w:r>
        <w:t xml:space="preserve"/>
      </w:r>
    </w:p>
    <w:p>
      <w:pPr>
        <w:pStyle w:val="Heading1"/>
        <w:pBdr>
          <w:bottom w:val="single" w:color="1A1A1A" w:sz="6" w:space="1"/>
        </w:pBdr>
        <w:spacing w:after="120" w:before="280"/>
      </w:pPr>
      <w:r>
        <w:rPr>
          <w:rFonts w:ascii="Arial" w:cs="Arial" w:eastAsia="Arial" w:hAnsi="Arial"/>
          <w:b/>
          <w:bCs/>
          <w:color w:val="1A1A1A"/>
          <w:sz w:val="32"/>
          <w:szCs w:val="32"/>
        </w:rPr>
        <w:t xml:space="preserve">Financial Projections Summary (Year 1: May–Dec 2026)</w:t>
      </w:r>
    </w:p>
    <w:p>
      <w:pPr>
        <w:pBdr>
          <w:left w:val="single" w:color="085041" w:sz="12" w:space="6"/>
        </w:pBdr>
        <w:shd w:fill="E1F5EE" w:val="clear"/>
        <w:spacing w:after="100" w:before="100"/>
        <w:ind w:left="240"/>
      </w:pPr>
      <w:r>
        <w:rPr>
          <w:rFonts w:ascii="Arial" w:cs="Arial" w:eastAsia="Arial" w:hAnsi="Arial"/>
          <w:color w:val="1A1A1A"/>
          <w:sz w:val="19"/>
          <w:szCs w:val="19"/>
        </w:rPr>
        <w:t xml:space="preserve">These figures use a fully-costed realistic model including feed supplement, equipment maintenance, biosecurity, insurance, accounting, phone, bank fees, and transport. Tipping fees excluded from Year 1. Yield buffer of 10% applied to larvae output.</w:t>
      </w:r>
    </w:p>
    <w:p>
      <w:pPr>
        <w:spacing w:after="0" w:before="80"/>
      </w:pPr>
      <w:r>
        <w:t xml:space="preserve"/>
      </w:r>
    </w:p>
    <w:tbl>
      <w:tblPr>
        <w:tblW w:type="dxa" w:w="9746"/>
      </w:tblPr>
      <w:tblGrid>
        <w:gridCol w:w="1400"/>
        <w:gridCol w:w="1300"/>
        <w:gridCol w:w="1300"/>
        <w:gridCol w:w="1300"/>
        <w:gridCol w:w="1300"/>
        <w:gridCol w:w="1300"/>
        <w:gridCol w:w="1300"/>
        <w:gridCol w:w="546"/>
      </w:tblGrid>
      <w:tr>
        <w:tc>
          <w:tcPr>
            <w:tcW w:type="dxa" w:w="14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Month</w:t>
            </w:r>
          </w:p>
        </w:tc>
        <w:tc>
          <w:tcPr>
            <w:tcW w:type="dxa" w:w="13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Larvae kg/wk</w:t>
            </w:r>
          </w:p>
        </w:tc>
        <w:tc>
          <w:tcPr>
            <w:tcW w:type="dxa" w:w="13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Revenue</w:t>
            </w:r>
          </w:p>
        </w:tc>
        <w:tc>
          <w:tcPr>
            <w:tcW w:type="dxa" w:w="13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Costs</w:t>
            </w:r>
          </w:p>
        </w:tc>
        <w:tc>
          <w:tcPr>
            <w:tcW w:type="dxa" w:w="13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Net profit</w:t>
            </w:r>
          </w:p>
        </w:tc>
        <w:tc>
          <w:tcPr>
            <w:tcW w:type="dxa" w:w="13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Margin %</w:t>
            </w:r>
          </w:p>
        </w:tc>
        <w:tc>
          <w:tcPr>
            <w:tcW w:type="dxa" w:w="13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Labour hired</w:t>
            </w:r>
          </w:p>
        </w:tc>
        <w:tc>
          <w:tcPr>
            <w:tcW w:type="dxa" w:w="546"/>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
            </w:r>
          </w:p>
        </w:tc>
      </w:tr>
      <w:tr>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May</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15</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$2,312</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791F1F"/>
                <w:sz w:val="18"/>
                <w:szCs w:val="18"/>
              </w:rPr>
              <w:t xml:space="preserve">$718</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27500A"/>
                <w:sz w:val="18"/>
                <w:szCs w:val="18"/>
              </w:rPr>
              <w:t xml:space="preserve">$1,595</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69%</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888888"/>
                <w:sz w:val="18"/>
                <w:szCs w:val="18"/>
              </w:rPr>
              <w:t xml:space="preserve">No</w:t>
            </w:r>
          </w:p>
        </w:tc>
        <w:tc>
          <w:tcPr>
            <w:tcW w:type="dxa" w:w="5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
            </w:r>
          </w:p>
        </w:tc>
      </w:tr>
      <w:tr>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Jun</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22</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$3,353</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791F1F"/>
                <w:sz w:val="18"/>
                <w:szCs w:val="18"/>
              </w:rPr>
              <w:t xml:space="preserve">$828</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27500A"/>
                <w:sz w:val="18"/>
                <w:szCs w:val="18"/>
              </w:rPr>
              <w:t xml:space="preserve">$2,525</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75%</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888888"/>
                <w:sz w:val="18"/>
                <w:szCs w:val="18"/>
              </w:rPr>
              <w:t xml:space="preserve">No</w:t>
            </w:r>
          </w:p>
        </w:tc>
        <w:tc>
          <w:tcPr>
            <w:tcW w:type="dxa" w:w="5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
            </w:r>
          </w:p>
        </w:tc>
      </w:tr>
      <w:tr>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Jul</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28</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$4,219</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791F1F"/>
                <w:sz w:val="18"/>
                <w:szCs w:val="18"/>
              </w:rPr>
              <w:t xml:space="preserve">$973</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27500A"/>
                <w:sz w:val="18"/>
                <w:szCs w:val="18"/>
              </w:rPr>
              <w:t xml:space="preserve">$3,247</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77%</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888888"/>
                <w:sz w:val="18"/>
                <w:szCs w:val="18"/>
              </w:rPr>
              <w:t xml:space="preserve">No</w:t>
            </w:r>
          </w:p>
        </w:tc>
        <w:tc>
          <w:tcPr>
            <w:tcW w:type="dxa" w:w="5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
            </w:r>
          </w:p>
        </w:tc>
      </w:tr>
      <w:tr>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Aug</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35</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$6,353</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791F1F"/>
                <w:sz w:val="18"/>
                <w:szCs w:val="18"/>
              </w:rPr>
              <w:t xml:space="preserve">$1,289</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27500A"/>
                <w:sz w:val="18"/>
                <w:szCs w:val="18"/>
              </w:rPr>
              <w:t xml:space="preserve">$5,064</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80%</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888888"/>
                <w:sz w:val="18"/>
                <w:szCs w:val="18"/>
              </w:rPr>
              <w:t xml:space="preserve">No</w:t>
            </w:r>
          </w:p>
        </w:tc>
        <w:tc>
          <w:tcPr>
            <w:tcW w:type="dxa" w:w="5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
            </w:r>
          </w:p>
        </w:tc>
      </w:tr>
      <w:tr>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Sep</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45</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$8,228</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791F1F"/>
                <w:sz w:val="18"/>
                <w:szCs w:val="18"/>
              </w:rPr>
              <w:t xml:space="preserve">$1,484</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27500A"/>
                <w:sz w:val="18"/>
                <w:szCs w:val="18"/>
              </w:rPr>
              <w:t xml:space="preserve">$6,744</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82%</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888888"/>
                <w:sz w:val="18"/>
                <w:szCs w:val="18"/>
              </w:rPr>
              <w:t xml:space="preserve">No</w:t>
            </w:r>
          </w:p>
        </w:tc>
        <w:tc>
          <w:tcPr>
            <w:tcW w:type="dxa" w:w="5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
            </w:r>
          </w:p>
        </w:tc>
      </w:tr>
      <w:tr>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Oct</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55</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$9,650</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791F1F"/>
                <w:sz w:val="18"/>
                <w:szCs w:val="18"/>
              </w:rPr>
              <w:t xml:space="preserve">$1,639</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27500A"/>
                <w:sz w:val="18"/>
                <w:szCs w:val="18"/>
              </w:rPr>
              <w:t xml:space="preserve">$8,011</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83%</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888888"/>
                <w:sz w:val="18"/>
                <w:szCs w:val="18"/>
              </w:rPr>
              <w:t xml:space="preserve">No</w:t>
            </w:r>
          </w:p>
        </w:tc>
        <w:tc>
          <w:tcPr>
            <w:tcW w:type="dxa" w:w="5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
            </w:r>
          </w:p>
        </w:tc>
      </w:tr>
      <w:tr>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Nov</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58</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$10,199</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791F1F"/>
                <w:sz w:val="18"/>
                <w:szCs w:val="18"/>
              </w:rPr>
              <w:t xml:space="preserve">$2,817</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27500A"/>
                <w:sz w:val="18"/>
                <w:szCs w:val="18"/>
              </w:rPr>
              <w:t xml:space="preserve">$7,383</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72%</w:t>
            </w:r>
          </w:p>
        </w:tc>
        <w:tc>
          <w:tcPr>
            <w:tcW w:type="dxa" w:w="13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633806"/>
                <w:sz w:val="18"/>
                <w:szCs w:val="18"/>
              </w:rPr>
              <w:t xml:space="preserve">8 hrs/wk</w:t>
            </w:r>
          </w:p>
        </w:tc>
        <w:tc>
          <w:tcPr>
            <w:tcW w:type="dxa" w:w="5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
            </w:r>
          </w:p>
        </w:tc>
      </w:tr>
      <w:tr>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Dec</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60</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$10,599</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791F1F"/>
                <w:sz w:val="18"/>
                <w:szCs w:val="18"/>
              </w:rPr>
              <w:t xml:space="preserve">$2,859</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27500A"/>
                <w:sz w:val="18"/>
                <w:szCs w:val="18"/>
              </w:rPr>
              <w:t xml:space="preserve">$7,741</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73%</w:t>
            </w:r>
          </w:p>
        </w:tc>
        <w:tc>
          <w:tcPr>
            <w:tcW w:type="dxa" w:w="13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633806"/>
                <w:sz w:val="18"/>
                <w:szCs w:val="18"/>
              </w:rPr>
              <w:t xml:space="preserve">8 hrs/wk</w:t>
            </w:r>
          </w:p>
        </w:tc>
        <w:tc>
          <w:tcPr>
            <w:tcW w:type="dxa" w:w="5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
            </w:r>
          </w:p>
        </w:tc>
      </w:tr>
      <w:tr>
        <w:tc>
          <w:tcPr>
            <w:tcW w:type="dxa" w:w="1400"/>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bCs/>
                <w:i w:val="false"/>
                <w:iCs w:val="false"/>
                <w:color w:val="27500A"/>
                <w:sz w:val="18"/>
                <w:szCs w:val="18"/>
              </w:rPr>
              <w:t xml:space="preserve">TOTAL</w:t>
            </w:r>
          </w:p>
        </w:tc>
        <w:tc>
          <w:tcPr>
            <w:tcW w:type="dxa" w:w="1300"/>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val="false"/>
                <w:bCs w:val="false"/>
                <w:i w:val="false"/>
                <w:iCs w:val="false"/>
                <w:color w:val="1A1A1A"/>
                <w:sz w:val="18"/>
                <w:szCs w:val="18"/>
              </w:rPr>
              <w:t xml:space="preserve"/>
            </w:r>
          </w:p>
        </w:tc>
        <w:tc>
          <w:tcPr>
            <w:tcW w:type="dxa" w:w="1300"/>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bCs/>
                <w:i w:val="false"/>
                <w:iCs w:val="false"/>
                <w:color w:val="27500A"/>
                <w:sz w:val="18"/>
                <w:szCs w:val="18"/>
              </w:rPr>
              <w:t xml:space="preserve">$54,913</w:t>
            </w:r>
          </w:p>
        </w:tc>
        <w:tc>
          <w:tcPr>
            <w:tcW w:type="dxa" w:w="1300"/>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val="false"/>
                <w:bCs w:val="false"/>
                <w:i w:val="false"/>
                <w:iCs w:val="false"/>
                <w:color w:val="791F1F"/>
                <w:sz w:val="18"/>
                <w:szCs w:val="18"/>
              </w:rPr>
              <w:t xml:space="preserve">$12,605</w:t>
            </w:r>
          </w:p>
        </w:tc>
        <w:tc>
          <w:tcPr>
            <w:tcW w:type="dxa" w:w="1300"/>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bCs/>
                <w:i w:val="false"/>
                <w:iCs w:val="false"/>
                <w:color w:val="27500A"/>
                <w:sz w:val="18"/>
                <w:szCs w:val="18"/>
              </w:rPr>
              <w:t xml:space="preserve">$42,308</w:t>
            </w:r>
          </w:p>
        </w:tc>
        <w:tc>
          <w:tcPr>
            <w:tcW w:type="dxa" w:w="1300"/>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bCs/>
                <w:i w:val="false"/>
                <w:iCs w:val="false"/>
                <w:color w:val="27500A"/>
                <w:sz w:val="18"/>
                <w:szCs w:val="18"/>
              </w:rPr>
              <w:t xml:space="preserve">77%</w:t>
            </w:r>
          </w:p>
        </w:tc>
        <w:tc>
          <w:tcPr>
            <w:tcW w:type="dxa" w:w="1300"/>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val="false"/>
                <w:bCs w:val="false"/>
                <w:i w:val="false"/>
                <w:iCs w:val="false"/>
                <w:color w:val="1A1A1A"/>
                <w:sz w:val="18"/>
                <w:szCs w:val="18"/>
              </w:rPr>
              <w:t xml:space="preserve"/>
            </w:r>
          </w:p>
        </w:tc>
        <w:tc>
          <w:tcPr>
            <w:tcW w:type="dxa" w:w="546"/>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val="false"/>
                <w:bCs w:val="false"/>
                <w:i w:val="false"/>
                <w:iCs w:val="false"/>
                <w:color w:val="1A1A1A"/>
                <w:sz w:val="18"/>
                <w:szCs w:val="18"/>
              </w:rPr>
              <w:t xml:space="preserve"/>
            </w:r>
          </w:p>
        </w:tc>
      </w:tr>
    </w:tbl>
    <w:p>
      <w:pPr>
        <w:spacing w:after="0" w:before="120"/>
      </w:pPr>
      <w:r>
        <w:t xml:space="preserve"/>
      </w:r>
    </w:p>
    <w:p>
      <w:pPr>
        <w:pStyle w:val="Heading2"/>
        <w:spacing w:after="80" w:before="200"/>
      </w:pPr>
      <w:r>
        <w:rPr>
          <w:rFonts w:ascii="Arial" w:cs="Arial" w:eastAsia="Arial" w:hAnsi="Arial"/>
          <w:b/>
          <w:bCs/>
          <w:color w:val="4A4A4A"/>
          <w:sz w:val="24"/>
          <w:szCs w:val="24"/>
        </w:rPr>
        <w:t xml:space="preserve">Cost Model — All Included Items</w:t>
      </w:r>
    </w:p>
    <w:tbl>
      <w:tblPr>
        <w:tblW w:type="dxa" w:w="9746"/>
      </w:tblPr>
      <w:tblGrid>
        <w:gridCol w:w="3200"/>
        <w:gridCol w:w="1800"/>
        <w:gridCol w:w="4746"/>
      </w:tblGrid>
      <w:tr>
        <w:tc>
          <w:tcPr>
            <w:tcW w:type="dxa" w:w="32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Cost item</w:t>
            </w:r>
          </w:p>
        </w:tc>
        <w:tc>
          <w:tcPr>
            <w:tcW w:type="dxa" w:w="18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Rate</w:t>
            </w:r>
          </w:p>
        </w:tc>
        <w:tc>
          <w:tcPr>
            <w:tcW w:type="dxa" w:w="4746"/>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Notes</w:t>
            </w:r>
          </w:p>
        </w:tc>
      </w:tr>
      <w:tr>
        <w:tc>
          <w:tcPr>
            <w:tcW w:type="dxa" w:w="3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Packaging &amp; labels</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$1.50/kg product</w:t>
            </w:r>
          </w:p>
        </w:tc>
        <w:tc>
          <w:tcPr>
            <w:tcW w:type="dxa" w:w="4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All products — live, dried, frass, chitin</w:t>
            </w:r>
          </w:p>
        </w:tc>
      </w:tr>
      <w:tr>
        <w:tc>
          <w:tcPr>
            <w:tcW w:type="dxa" w:w="3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Feed supplement (wheat bran 15% blend)</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$0.50/kg larvae</w:t>
            </w:r>
          </w:p>
        </w:tc>
        <w:tc>
          <w:tcPr>
            <w:tcW w:type="dxa" w:w="4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Stabilises conversion. Pure food waste alone is unreliable.</w:t>
            </w:r>
          </w:p>
        </w:tc>
      </w:tr>
      <w:tr>
        <w:tc>
          <w:tcPr>
            <w:tcW w:type="dxa" w:w="3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Consumables (HCl, NaOH, biosecurity)</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$0.50/kg product</w:t>
            </w:r>
          </w:p>
        </w:tc>
        <w:tc>
          <w:tcPr>
            <w:tcW w:type="dxa" w:w="4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Chitin reagents, disinfectants, cleaning</w:t>
            </w:r>
          </w:p>
        </w:tc>
      </w:tr>
      <w:tr>
        <w:tc>
          <w:tcPr>
            <w:tcW w:type="dxa" w:w="3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Power (dehydrator + climate control)</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$130/month</w:t>
            </w:r>
          </w:p>
        </w:tc>
        <w:tc>
          <w:tcPr>
            <w:tcW w:type="dxa" w:w="4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Increases with scale; summer heating near zero</w:t>
            </w:r>
          </w:p>
        </w:tc>
      </w:tr>
      <w:tr>
        <w:tc>
          <w:tcPr>
            <w:tcW w:type="dxa" w:w="3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Equipment maintenance/depreciation</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$45/month</w:t>
            </w:r>
          </w:p>
        </w:tc>
        <w:tc>
          <w:tcPr>
            <w:tcW w:type="dxa" w:w="4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Dehydrator elements, trays, screens, containers</w:t>
            </w:r>
          </w:p>
        </w:tc>
      </w:tr>
      <w:tr>
        <w:tc>
          <w:tcPr>
            <w:tcW w:type="dxa" w:w="3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Biosecurity &amp; hygiene</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$50/month</w:t>
            </w:r>
          </w:p>
        </w:tc>
        <w:tc>
          <w:tcPr>
            <w:tcW w:type="dxa" w:w="4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Bleach, PPE, fly/rodent control</w:t>
            </w:r>
          </w:p>
        </w:tc>
      </w:tr>
      <w:tr>
        <w:tc>
          <w:tcPr>
            <w:tcW w:type="dxa" w:w="3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Insurance (product liability)</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$15/month</w:t>
            </w:r>
          </w:p>
        </w:tc>
        <w:tc>
          <w:tcPr>
            <w:tcW w:type="dxa" w:w="4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$180/year recurring</w:t>
            </w:r>
          </w:p>
        </w:tc>
      </w:tr>
      <w:tr>
        <w:tc>
          <w:tcPr>
            <w:tcW w:type="dxa" w:w="3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Accounting/BAS compliance</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$30/month</w:t>
            </w:r>
          </w:p>
        </w:tc>
        <w:tc>
          <w:tcPr>
            <w:tcW w:type="dxa" w:w="4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Quarterly BAS, Wave Accounting</w:t>
            </w:r>
          </w:p>
        </w:tc>
      </w:tr>
      <w:tr>
        <w:tc>
          <w:tcPr>
            <w:tcW w:type="dxa" w:w="3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Phone (business portion)</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$60/month</w:t>
            </w:r>
          </w:p>
        </w:tc>
        <w:tc>
          <w:tcPr>
            <w:tcW w:type="dxa" w:w="4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Order management, social media, coordination</w:t>
            </w:r>
          </w:p>
        </w:tc>
      </w:tr>
      <w:tr>
        <w:tc>
          <w:tcPr>
            <w:tcW w:type="dxa" w:w="3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Bank &amp; card processing fees</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$30 + 1.5% stall</w:t>
            </w:r>
          </w:p>
        </w:tc>
        <w:tc>
          <w:tcPr>
            <w:tcW w:type="dxa" w:w="4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Business account + EFTPOS at market stall</w:t>
            </w:r>
          </w:p>
        </w:tc>
      </w:tr>
      <w:tr>
        <w:tc>
          <w:tcPr>
            <w:tcW w:type="dxa" w:w="3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Casual labour (month 7+)</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$35/hr × 8 hrs/wk</w:t>
            </w:r>
          </w:p>
        </w:tc>
        <w:tc>
          <w:tcPr>
            <w:tcW w:type="dxa" w:w="4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$1,120/month from month 7</w:t>
            </w:r>
          </w:p>
        </w:tc>
      </w:tr>
      <w:tr>
        <w:tc>
          <w:tcPr>
            <w:tcW w:type="dxa" w:w="3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Credit card interest</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~$15/month</w:t>
            </w:r>
          </w:p>
        </w:tc>
        <w:tc>
          <w:tcPr>
            <w:tcW w:type="dxa" w:w="4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~$3k avg revolving balance — cleared monthly where possible</w:t>
            </w:r>
          </w:p>
        </w:tc>
      </w:tr>
      <w:tr>
        <w:tc>
          <w:tcPr>
            <w:tcW w:type="dxa" w:w="3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Transport — waste collection</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$91–130/month</w:t>
            </w:r>
          </w:p>
        </w:tc>
        <w:tc>
          <w:tcPr>
            <w:tcW w:type="dxa" w:w="4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2–3 ute runs/wk, ~40km return, $0.21/km</w:t>
            </w:r>
          </w:p>
        </w:tc>
      </w:tr>
      <w:tr>
        <w:tc>
          <w:tcPr>
            <w:tcW w:type="dxa" w:w="3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Transport — wholesale delivery</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~$55/month</w:t>
            </w:r>
          </w:p>
        </w:tc>
        <w:tc>
          <w:tcPr>
            <w:tcW w:type="dxa" w:w="4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Weekly run from month 3, ~60km return</w:t>
            </w:r>
          </w:p>
        </w:tc>
      </w:tr>
      <w:tr>
        <w:tc>
          <w:tcPr>
            <w:tcW w:type="dxa" w:w="3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Transport — stall travel</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~$42/month</w:t>
            </w:r>
          </w:p>
        </w:tc>
        <w:tc>
          <w:tcPr>
            <w:tcW w:type="dxa" w:w="4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Toowoomba 100km return × 2 days/month from month 4</w:t>
            </w:r>
          </w:p>
        </w:tc>
      </w:tr>
      <w:tr>
        <w:tc>
          <w:tcPr>
            <w:tcW w:type="dxa" w:w="3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Transport — parcel post</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~$96/month</w:t>
            </w:r>
          </w:p>
        </w:tc>
        <w:tc>
          <w:tcPr>
            <w:tcW w:type="dxa" w:w="4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$12/parcel × ~8 online orders/month. LIVE not posted interstate.</w:t>
            </w:r>
          </w:p>
        </w:tc>
      </w:tr>
      <w:tr>
        <w:tc>
          <w:tcPr>
            <w:tcW w:type="dxa" w:w="3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Market stall fees</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$55/day</w:t>
            </w:r>
          </w:p>
        </w:tc>
        <w:tc>
          <w:tcPr>
            <w:tcW w:type="dxa" w:w="4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From month 4, fortnightly</w:t>
            </w:r>
          </w:p>
        </w:tc>
      </w:tr>
      <w:tr>
        <w:tc>
          <w:tcPr>
            <w:tcW w:type="dxa" w:w="3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Tipping fees (Year 1)</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$0</w:t>
            </w:r>
          </w:p>
        </w:tc>
        <w:tc>
          <w:tcPr>
            <w:tcW w:type="dxa" w:w="4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Waste is received FREE in Year 1. Tipping fee contracts require 6–12 months operating history — Year 2 item.</w:t>
            </w:r>
          </w:p>
        </w:tc>
      </w:tr>
    </w:tbl>
    <w:p>
      <w:pPr>
        <w:spacing w:after="0" w:before="120"/>
      </w:pPr>
      <w:r>
        <w:t xml:space="preserve"/>
      </w:r>
    </w:p>
    <w:p>
      <w:pPr>
        <w:pStyle w:val="Heading1"/>
        <w:pBdr>
          <w:bottom w:val="single" w:color="1A1A1A" w:sz="6" w:space="1"/>
        </w:pBdr>
        <w:spacing w:after="120" w:before="280"/>
      </w:pPr>
      <w:r>
        <w:rPr>
          <w:rFonts w:ascii="Arial" w:cs="Arial" w:eastAsia="Arial" w:hAnsi="Arial"/>
          <w:b/>
          <w:bCs/>
          <w:color w:val="1A1A1A"/>
          <w:sz w:val="32"/>
          <w:szCs w:val="32"/>
        </w:rPr>
        <w:t xml:space="preserve">Products &amp; Revenue Streams</w:t>
      </w:r>
    </w:p>
    <w:p>
      <w:pPr>
        <w:pStyle w:val="Heading2"/>
        <w:spacing w:after="80" w:before="200"/>
      </w:pPr>
      <w:r>
        <w:rPr>
          <w:rFonts w:ascii="Arial" w:cs="Arial" w:eastAsia="Arial" w:hAnsi="Arial"/>
          <w:b/>
          <w:bCs/>
          <w:color w:val="4A4A4A"/>
          <w:sz w:val="24"/>
          <w:szCs w:val="24"/>
        </w:rPr>
        <w:t xml:space="preserve">Current product range</w:t>
      </w:r>
    </w:p>
    <w:tbl>
      <w:tblPr>
        <w:tblW w:type="dxa" w:w="9746"/>
      </w:tblPr>
      <w:tblGrid>
        <w:gridCol w:w="2200"/>
        <w:gridCol w:w="1600"/>
        <w:gridCol w:w="1800"/>
        <w:gridCol w:w="4146"/>
      </w:tblGrid>
      <w:tr>
        <w:tc>
          <w:tcPr>
            <w:tcW w:type="dxa" w:w="22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Product</w:t>
            </w:r>
          </w:p>
        </w:tc>
        <w:tc>
          <w:tcPr>
            <w:tcW w:type="dxa" w:w="16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Price</w:t>
            </w:r>
          </w:p>
        </w:tc>
        <w:tc>
          <w:tcPr>
            <w:tcW w:type="dxa" w:w="18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Starts</w:t>
            </w:r>
          </w:p>
        </w:tc>
        <w:tc>
          <w:tcPr>
            <w:tcW w:type="dxa" w:w="4146"/>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Notes</w:t>
            </w:r>
          </w:p>
        </w:tc>
      </w:tr>
      <w:tr>
        <w:tc>
          <w:tcPr>
            <w:tcW w:type="dxa" w:w="2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Live BSFL</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$28/kg blended</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Month 1</w:t>
            </w:r>
          </w:p>
        </w:tc>
        <w:tc>
          <w:tcPr>
            <w:tcW w:type="dxa" w:w="41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60/40 direct/wholesale mix. Local pickup + direct delivery only — no interstate express post (destroys margin).</w:t>
            </w:r>
          </w:p>
        </w:tc>
      </w:tr>
      <w:tr>
        <w:tc>
          <w:tcPr>
            <w:tcW w:type="dxa" w:w="2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Dried BSFL</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$80/kg</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Month 1</w:t>
            </w:r>
          </w:p>
        </w:tc>
        <w:tc>
          <w:tcPr>
            <w:tcW w:type="dxa" w:w="41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Food dehydrator (secondhand, already owned). Volume grows as online market builds. Ships nationally.</w:t>
            </w:r>
          </w:p>
        </w:tc>
      </w:tr>
      <w:tr>
        <w:tc>
          <w:tcPr>
            <w:tcW w:type="dxa" w:w="2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Frass fertiliser</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$11/kg blended</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Month 2</w:t>
            </w:r>
          </w:p>
        </w:tc>
        <w:tc>
          <w:tcPr>
            <w:tcW w:type="dxa" w:w="41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$14/kg retail bags; $9/kg farm bulk. Lockyer Valley vegetable growers are primary bulk buyers.</w:t>
            </w:r>
          </w:p>
        </w:tc>
      </w:tr>
      <w:tr>
        <w:tc>
          <w:tcPr>
            <w:tcW w:type="dxa" w:w="2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Chitin powder (agric. grade)</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$30/kg</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Month 5</w:t>
            </w:r>
          </w:p>
        </w:tc>
        <w:tc>
          <w:tcPr>
            <w:tcW w:type="dxa" w:w="41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6% of dried frass weight. Setup cost ~$135–190. Extracted using HCl + NaOH. Sold to existing frass customers first.</w:t>
            </w:r>
          </w:p>
        </w:tc>
      </w:tr>
      <w:tr>
        <w:tc>
          <w:tcPr>
            <w:tcW w:type="dxa" w:w="2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Chitosan (specialty grade)</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$50–80/kg</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Year 2</w:t>
            </w:r>
          </w:p>
        </w:tc>
        <w:tc>
          <w:tcPr>
            <w:tcW w:type="dxa" w:w="41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Requires consistent batch quality + independent lab certificate.</w:t>
            </w:r>
          </w:p>
        </w:tc>
      </w:tr>
      <w:tr>
        <w:tc>
          <w:tcPr>
            <w:tcW w:type="dxa" w:w="2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Premium BSF chitosan</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$100–150/kg</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Year 2–3</w:t>
            </w:r>
          </w:p>
        </w:tc>
        <w:tc>
          <w:tcPr>
            <w:tcW w:type="dxa" w:w="41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Nutraceutical/industrial buyers. Requires documented substrate consistency + accredited lab analysis.</w:t>
            </w:r>
          </w:p>
        </w:tc>
      </w:tr>
      <w:tr>
        <w:tc>
          <w:tcPr>
            <w:tcW w:type="dxa" w:w="22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Tipping fees</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27500A"/>
                <w:sz w:val="18"/>
                <w:szCs w:val="18"/>
              </w:rPr>
              <w:t xml:space="preserve">$55/t</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Year 2</w:t>
            </w:r>
          </w:p>
        </w:tc>
        <w:tc>
          <w:tcPr>
            <w:tcW w:type="dxa" w:w="41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Formal waste management service contracts after 6–12 months operating history.</w:t>
            </w:r>
          </w:p>
        </w:tc>
      </w:tr>
      <w:tr>
        <w:tc>
          <w:tcPr>
            <w:tcW w:type="dxa" w:w="22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Biodiesel / SAF</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27500A"/>
                <w:sz w:val="18"/>
                <w:szCs w:val="18"/>
              </w:rPr>
              <w:t xml:space="preserve">Phase 4</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Year 5+</w:t>
            </w:r>
          </w:p>
        </w:tc>
        <w:tc>
          <w:tcPr>
            <w:tcW w:type="dxa" w:w="41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Lipid extraction viable once network reaches 5,000+ t/yr substrate. ARENA-eligible. Feedstock effectively free.</w:t>
            </w:r>
          </w:p>
        </w:tc>
      </w:tr>
    </w:tbl>
    <w:p>
      <w:pPr>
        <w:spacing w:after="0" w:before="120"/>
      </w:pPr>
      <w:r>
        <w:t xml:space="preserve"/>
      </w:r>
    </w:p>
    <w:p>
      <w:pPr>
        <w:pStyle w:val="Heading1"/>
        <w:pBdr>
          <w:bottom w:val="single" w:color="1A1A1A" w:sz="6" w:space="1"/>
        </w:pBdr>
        <w:spacing w:after="120" w:before="280"/>
      </w:pPr>
      <w:r>
        <w:rPr>
          <w:rFonts w:ascii="Arial" w:cs="Arial" w:eastAsia="Arial" w:hAnsi="Arial"/>
          <w:b/>
          <w:bCs/>
          <w:color w:val="1A1A1A"/>
          <w:sz w:val="32"/>
          <w:szCs w:val="32"/>
        </w:rPr>
        <w:t xml:space="preserve">Physical Infrastructure — Design Brief</w:t>
      </w:r>
    </w:p>
    <w:p>
      <w:pPr>
        <w:pBdr>
          <w:left w:val="single" w:color="633806" w:sz="12" w:space="6"/>
        </w:pBdr>
        <w:shd w:fill="FAEEDA" w:val="clear"/>
        <w:spacing w:after="100" w:before="100"/>
        <w:ind w:left="240"/>
      </w:pPr>
      <w:r>
        <w:rPr>
          <w:rFonts w:ascii="Arial" w:cs="Arial" w:eastAsia="Arial" w:hAnsi="Arial"/>
          <w:color w:val="1A1A1A"/>
          <w:sz w:val="19"/>
          <w:szCs w:val="19"/>
        </w:rPr>
        <w:t xml:space="preserve">IMPORTANT: This is the active work area of the project. The next phase of planning is designing the physical facility and growing systems. All designs must satisfy: (1) single operator execution, (2) no heavy machinery until purchased from profits, (3) cheap and DIY-buildable, (4) modular for easy replication at new sites, (5) temperature control for sub-zero Lockyer Valley winters.</w:t>
      </w:r>
    </w:p>
    <w:p>
      <w:pPr>
        <w:spacing w:after="0" w:before="80"/>
      </w:pPr>
      <w:r>
        <w:t xml:space="preserve"/>
      </w:r>
    </w:p>
    <w:p>
      <w:pPr>
        <w:pStyle w:val="Heading2"/>
        <w:spacing w:after="80" w:before="200"/>
      </w:pPr>
      <w:r>
        <w:rPr>
          <w:rFonts w:ascii="Arial" w:cs="Arial" w:eastAsia="Arial" w:hAnsi="Arial"/>
          <w:b/>
          <w:bCs/>
          <w:color w:val="4A4A4A"/>
          <w:sz w:val="24"/>
          <w:szCs w:val="24"/>
        </w:rPr>
        <w:t xml:space="preserve">Design constraints</w:t>
      </w:r>
    </w:p>
    <w:p>
      <w:pPr>
        <w:pStyle w:val="ListParagraph"/>
        <w:numPr>
          <w:ilvl w:val="0"/>
          <w:numId w:val="2"/>
        </w:numPr>
        <w:spacing w:after="60"/>
      </w:pPr>
      <w:r>
        <w:rPr>
          <w:rFonts w:ascii="Arial" w:cs="Arial" w:eastAsia="Arial" w:hAnsi="Arial"/>
          <w:color w:val="1A1A1A"/>
          <w:sz w:val="19"/>
          <w:szCs w:val="19"/>
        </w:rPr>
        <w:t xml:space="preserve">Single operator — one person must be able to execute every process without assistance</w:t>
      </w:r>
    </w:p>
    <w:p>
      <w:pPr>
        <w:pStyle w:val="ListParagraph"/>
        <w:numPr>
          <w:ilvl w:val="0"/>
          <w:numId w:val="2"/>
        </w:numPr>
        <w:spacing w:after="60"/>
      </w:pPr>
      <w:r>
        <w:rPr>
          <w:rFonts w:ascii="Arial" w:cs="Arial" w:eastAsia="Arial" w:hAnsi="Arial"/>
          <w:color w:val="1A1A1A"/>
          <w:sz w:val="19"/>
          <w:szCs w:val="19"/>
        </w:rPr>
        <w:t xml:space="preserve">No heavy machinery — manual handling only until profits fund equipment purchases</w:t>
      </w:r>
    </w:p>
    <w:p>
      <w:pPr>
        <w:pStyle w:val="ListParagraph"/>
        <w:numPr>
          <w:ilvl w:val="0"/>
          <w:numId w:val="2"/>
        </w:numPr>
        <w:spacing w:after="60"/>
      </w:pPr>
      <w:r>
        <w:rPr>
          <w:rFonts w:ascii="Arial" w:cs="Arial" w:eastAsia="Arial" w:hAnsi="Arial"/>
          <w:color w:val="1A1A1A"/>
          <w:sz w:val="19"/>
          <w:szCs w:val="19"/>
        </w:rPr>
        <w:t xml:space="preserve">DIY construction — build cheaply from available materials; buy only what isn't worth building</w:t>
      </w:r>
    </w:p>
    <w:p>
      <w:pPr>
        <w:pStyle w:val="ListParagraph"/>
        <w:numPr>
          <w:ilvl w:val="0"/>
          <w:numId w:val="2"/>
        </w:numPr>
        <w:spacing w:after="60"/>
      </w:pPr>
      <w:r>
        <w:rPr>
          <w:rFonts w:ascii="Arial" w:cs="Arial" w:eastAsia="Arial" w:hAnsi="Arial"/>
          <w:color w:val="1A1A1A"/>
          <w:sz w:val="19"/>
          <w:szCs w:val="19"/>
        </w:rPr>
        <w:t xml:space="preserve">Modular — each unit replicable at Site 2 without redesign; standard module = one IBC rearing bin</w:t>
      </w:r>
    </w:p>
    <w:p>
      <w:pPr>
        <w:pStyle w:val="ListParagraph"/>
        <w:numPr>
          <w:ilvl w:val="0"/>
          <w:numId w:val="2"/>
        </w:numPr>
        <w:spacing w:after="60"/>
      </w:pPr>
      <w:r>
        <w:rPr>
          <w:rFonts w:ascii="Arial" w:cs="Arial" w:eastAsia="Arial" w:hAnsi="Arial"/>
          <w:color w:val="1A1A1A"/>
          <w:sz w:val="19"/>
          <w:szCs w:val="19"/>
        </w:rPr>
        <w:t xml:space="preserve">Temperature controlled — property reaches below 0°C in winter; BSFL stall below 15°C, die below 10°C</w:t>
      </w:r>
    </w:p>
    <w:p>
      <w:pPr>
        <w:pStyle w:val="ListParagraph"/>
        <w:numPr>
          <w:ilvl w:val="0"/>
          <w:numId w:val="2"/>
        </w:numPr>
        <w:spacing w:after="60"/>
      </w:pPr>
      <w:r>
        <w:rPr>
          <w:rFonts w:ascii="Arial" w:cs="Arial" w:eastAsia="Arial" w:hAnsi="Arial"/>
          <w:color w:val="1A1A1A"/>
          <w:sz w:val="19"/>
          <w:szCs w:val="19"/>
        </w:rPr>
        <w:t xml:space="preserve">Nested thermal envelopes — outer shed/polytunnel breaks wind and rain; insulated inner modules maintain 27–30°C year-round</w:t>
      </w:r>
    </w:p>
    <w:p>
      <w:pPr>
        <w:spacing w:after="0" w:before="80"/>
      </w:pPr>
      <w:r>
        <w:t xml:space="preserve"/>
      </w:r>
    </w:p>
    <w:p>
      <w:pPr>
        <w:pStyle w:val="Heading2"/>
        <w:spacing w:after="80" w:before="200"/>
      </w:pPr>
      <w:r>
        <w:rPr>
          <w:rFonts w:ascii="Arial" w:cs="Arial" w:eastAsia="Arial" w:hAnsi="Arial"/>
          <w:b/>
          <w:bCs/>
          <w:color w:val="4A4A4A"/>
          <w:sz w:val="24"/>
          <w:szCs w:val="24"/>
        </w:rPr>
        <w:t xml:space="preserve">Systems designed so far</w:t>
      </w:r>
    </w:p>
    <w:tbl>
      <w:tblPr>
        <w:tblW w:type="dxa" w:w="9746"/>
      </w:tblPr>
      <w:tblGrid>
        <w:gridCol w:w="2600"/>
        <w:gridCol w:w="1400"/>
        <w:gridCol w:w="1800"/>
        <w:gridCol w:w="3946"/>
      </w:tblGrid>
      <w:tr>
        <w:tc>
          <w:tcPr>
            <w:tcW w:type="dxa" w:w="26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System</w:t>
            </w:r>
          </w:p>
        </w:tc>
        <w:tc>
          <w:tcPr>
            <w:tcW w:type="dxa" w:w="14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Approach</w:t>
            </w:r>
          </w:p>
        </w:tc>
        <w:tc>
          <w:tcPr>
            <w:tcW w:type="dxa" w:w="18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Cost est.</w:t>
            </w:r>
          </w:p>
        </w:tc>
        <w:tc>
          <w:tcPr>
            <w:tcW w:type="dxa" w:w="3946"/>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Key design decisions</w:t>
            </w:r>
          </w:p>
        </w:tc>
      </w:tr>
      <w:tr>
        <w:tc>
          <w:tcPr>
            <w:tcW w:type="dxa" w:w="2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1 — Rearing module</w:t>
            </w:r>
          </w:p>
        </w:tc>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Build (IBC)</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633806"/>
                <w:sz w:val="18"/>
                <w:szCs w:val="18"/>
              </w:rPr>
              <w:t xml:space="preserve">~$110/unit</w:t>
            </w:r>
          </w:p>
        </w:tc>
        <w:tc>
          <w:tcPr>
            <w:tcW w:type="dxa" w:w="3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1,200L food-grade IBC, cut top third off, mesh ventilation, self-harvesting ramp (PVC downpipe into bucket). 4–6 units in rotation staggered 2–3 days. One failed batch = one unit, not whole week.</w:t>
            </w:r>
          </w:p>
        </w:tc>
      </w:tr>
      <w:tr>
        <w:tc>
          <w:tcPr>
            <w:tcW w:type="dxa" w:w="2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2 — Thermal management</w:t>
            </w:r>
          </w:p>
        </w:tc>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Buy + build</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633806"/>
                <w:sz w:val="18"/>
                <w:szCs w:val="18"/>
              </w:rPr>
              <w:t xml:space="preserve">$60–75/module
$200 breeding encl.</w:t>
            </w:r>
          </w:p>
        </w:tc>
        <w:tc>
          <w:tcPr>
            <w:tcW w:type="dxa" w:w="39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300W seedling heat mat + thermostat per rearing module. 25mm foil insulation wrap. Polytunnel/greenhouse plastic breeding enclosure with oil column heater on thermostat. ~$200/month peak winter heating.</w:t>
            </w:r>
          </w:p>
        </w:tc>
      </w:tr>
      <w:tr>
        <w:tc>
          <w:tcPr>
            <w:tcW w:type="dxa" w:w="2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3 — Substrate preparation</w:t>
            </w:r>
          </w:p>
        </w:tc>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Build</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633806"/>
                <w:sz w:val="18"/>
                <w:szCs w:val="18"/>
              </w:rPr>
              <w:t xml:space="preserve">$70–90</w:t>
            </w:r>
          </w:p>
        </w:tc>
        <w:tc>
          <w:tcPr>
            <w:tcW w:type="dxa" w:w="3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200L drum on timber A-frame with hand crank. Mix and break down waste without electricity or machinery. 30 min per module load.</w:t>
            </w:r>
          </w:p>
        </w:tc>
      </w:tr>
      <w:tr>
        <w:tc>
          <w:tcPr>
            <w:tcW w:type="dxa" w:w="2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4 — Harvest &amp; drying</w:t>
            </w:r>
          </w:p>
        </w:tc>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Buy + build</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633806"/>
                <w:sz w:val="18"/>
                <w:szCs w:val="18"/>
              </w:rPr>
              <w:t xml:space="preserve">$80–120 freezer
$80 solar frame</w:t>
            </w:r>
          </w:p>
        </w:tc>
        <w:tc>
          <w:tcPr>
            <w:tcW w:type="dxa" w:w="39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Chest freezer secondhand = most important appliance. Self-harvesting ramp eliminates manual separation. Solar-assisted drying frame (timber + mesh + greenhouse plastic) supplements dehydrator in warm months.</w:t>
            </w:r>
          </w:p>
        </w:tc>
      </w:tr>
      <w:tr>
        <w:tc>
          <w:tcPr>
            <w:tcW w:type="dxa" w:w="2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5 — Frass separation</w:t>
            </w:r>
          </w:p>
        </w:tc>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Build</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633806"/>
                <w:sz w:val="18"/>
                <w:szCs w:val="18"/>
              </w:rPr>
              <w:t xml:space="preserve">$40–50/set</w:t>
            </w:r>
          </w:p>
        </w:tc>
        <w:tc>
          <w:tcPr>
            <w:tcW w:type="dxa" w:w="3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Two-layer sieve stack: 5mm hardware cloth + 2mm insect mesh. Over wheelbarrow. 20–30 min per IBC batch.</w:t>
            </w:r>
          </w:p>
        </w:tc>
      </w:tr>
      <w:tr>
        <w:tc>
          <w:tcPr>
            <w:tcW w:type="dxa" w:w="2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6 — Chitin extraction</w:t>
            </w:r>
          </w:p>
        </w:tc>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Build (bench)</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633806"/>
                <w:sz w:val="18"/>
                <w:szCs w:val="18"/>
              </w:rPr>
              <w:t xml:space="preserve">$135–190 total</w:t>
            </w:r>
          </w:p>
        </w:tc>
        <w:tc>
          <w:tcPr>
            <w:tcW w:type="dxa" w:w="39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Stainless pot, HCl demineralisation, NaOH deproteinisation, optional deacetylation. All bench-scale, no special equipment. Uses dehydrator already owned for final drying.</w:t>
            </w:r>
          </w:p>
        </w:tc>
      </w:tr>
      <w:tr>
        <w:tc>
          <w:tcPr>
            <w:tcW w:type="dxa" w:w="2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7 — Breeding colony</w:t>
            </w:r>
          </w:p>
        </w:tc>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Build</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633806"/>
                <w:sz w:val="18"/>
                <w:szCs w:val="18"/>
              </w:rPr>
              <w:t xml:space="preserve">$35–50</w:t>
            </w:r>
          </w:p>
        </w:tc>
        <w:tc>
          <w:tcPr>
            <w:tcW w:type="dxa" w:w="39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PVC pipe frame with 1mm mesh walls. Corrugated cardboard egg cards. Nursery in polystyrene fruit boxes. Colony seeded from Lockyer Valley parent strain to all future sites.</w:t>
            </w:r>
          </w:p>
        </w:tc>
      </w:tr>
    </w:tbl>
    <w:p>
      <w:pPr>
        <w:spacing w:after="0" w:before="80"/>
      </w:pPr>
      <w:r>
        <w:t xml:space="preserve"/>
      </w:r>
    </w:p>
    <w:p>
      <w:pPr>
        <w:pStyle w:val="Heading2"/>
        <w:spacing w:after="80" w:before="200"/>
      </w:pPr>
      <w:r>
        <w:rPr>
          <w:rFonts w:ascii="Arial" w:cs="Arial" w:eastAsia="Arial" w:hAnsi="Arial"/>
          <w:b/>
          <w:bCs/>
          <w:color w:val="4A4A4A"/>
          <w:sz w:val="24"/>
          <w:szCs w:val="24"/>
        </w:rPr>
        <w:t xml:space="preserve">Equipment shopping list — staged</w:t>
      </w:r>
    </w:p>
    <w:tbl>
      <w:tblPr>
        <w:tblW w:type="dxa" w:w="9746"/>
      </w:tblPr>
      <w:tblGrid>
        <w:gridCol w:w="1600"/>
        <w:gridCol w:w="2000"/>
        <w:gridCol w:w="1800"/>
        <w:gridCol w:w="4346"/>
      </w:tblGrid>
      <w:tr>
        <w:tc>
          <w:tcPr>
            <w:tcW w:type="dxa" w:w="16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Stage</w:t>
            </w:r>
          </w:p>
        </w:tc>
        <w:tc>
          <w:tcPr>
            <w:tcW w:type="dxa" w:w="20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Timing</w:t>
            </w:r>
          </w:p>
        </w:tc>
        <w:tc>
          <w:tcPr>
            <w:tcW w:type="dxa" w:w="18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Budget</w:t>
            </w:r>
          </w:p>
        </w:tc>
        <w:tc>
          <w:tcPr>
            <w:tcW w:type="dxa" w:w="4346"/>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Items</w:t>
            </w:r>
          </w:p>
        </w:tc>
      </w:tr>
      <w:tr>
        <w:tc>
          <w:tcPr>
            <w:tcW w:type="dxa" w:w="1600"/>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bCs/>
                <w:i w:val="false"/>
                <w:iCs w:val="false"/>
                <w:color w:val="27500A"/>
                <w:sz w:val="18"/>
                <w:szCs w:val="18"/>
              </w:rPr>
              <w:t xml:space="preserve">Stage 1</w:t>
            </w:r>
          </w:p>
        </w:tc>
        <w:tc>
          <w:tcPr>
            <w:tcW w:type="dxa" w:w="2000"/>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val="false"/>
                <w:bCs w:val="false"/>
                <w:i w:val="false"/>
                <w:iCs w:val="false"/>
                <w:color w:val="1A1A1A"/>
                <w:sz w:val="18"/>
                <w:szCs w:val="18"/>
              </w:rPr>
              <w:t xml:space="preserve">Month 1 (startup budget)</w:t>
            </w:r>
          </w:p>
        </w:tc>
        <w:tc>
          <w:tcPr>
            <w:tcW w:type="dxa" w:w="1800"/>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val="false"/>
                <w:bCs w:val="false"/>
                <w:i w:val="false"/>
                <w:iCs w:val="false"/>
                <w:color w:val="27500A"/>
                <w:sz w:val="18"/>
                <w:szCs w:val="18"/>
              </w:rPr>
              <w:t xml:space="preserve">~$700–900</w:t>
            </w:r>
          </w:p>
        </w:tc>
        <w:tc>
          <w:tcPr>
            <w:tcW w:type="dxa" w:w="4346"/>
            <w:tcBorders>
              <w:top w:val="single" w:color="E0E0E0" w:sz="1"/>
              <w:start w:val="single" w:color="E0E0E0" w:sz="1"/>
              <w:bottom w:val="single" w:color="E0E0E0" w:sz="1"/>
              <w:end w:val="single" w:color="E0E0E0" w:sz="1"/>
            </w:tcBorders>
            <w:shd w:fill="EAF3DE" w:val="clear"/>
            <w:tcMar>
              <w:top w:type="dxa" w:w="80"/>
              <w:start w:type="dxa" w:w="120"/>
              <w:bottom w:type="dxa" w:w="80"/>
              <w:end w:type="dxa" w:w="120"/>
            </w:tcMar>
          </w:tcPr>
          <w:p>
            <w:r>
              <w:rPr>
                <w:b w:val="false"/>
                <w:bCs w:val="false"/>
                <w:i w:val="false"/>
                <w:iCs w:val="false"/>
                <w:color w:val="1A1A1A"/>
                <w:sz w:val="18"/>
                <w:szCs w:val="18"/>
              </w:rPr>
              <w:t xml:space="preserve">4× IBC ($80 each), insulation foam roll ($40), 4× heat mats ($30 each), 4× thermostat controllers ($18 each), drum frame materials ($90), 2× sieve frames ($50), PVC breeding cage ($35), chest freezer secondhand ($100)</w:t>
            </w:r>
          </w:p>
        </w:tc>
      </w:tr>
      <w:tr>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085041"/>
                <w:sz w:val="18"/>
                <w:szCs w:val="18"/>
              </w:rPr>
              <w:t xml:space="preserve">Stage 2</w:t>
            </w:r>
          </w:p>
        </w:tc>
        <w:tc>
          <w:tcPr>
            <w:tcW w:type="dxa" w:w="20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Month 3 (from revenue)</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~$300–400</w:t>
            </w:r>
          </w:p>
        </w:tc>
        <w:tc>
          <w:tcPr>
            <w:tcW w:type="dxa" w:w="43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2× additional IBCs, solar drying frame build, bulk packaging materials</w:t>
            </w:r>
          </w:p>
        </w:tc>
      </w:tr>
      <w:tr>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633806"/>
                <w:sz w:val="18"/>
                <w:szCs w:val="18"/>
              </w:rPr>
              <w:t xml:space="preserve">Stage 3</w:t>
            </w:r>
          </w:p>
        </w:tc>
        <w:tc>
          <w:tcPr>
            <w:tcW w:type="dxa" w:w="20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Month 6–9 (from revenue)</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633806"/>
                <w:sz w:val="18"/>
                <w:szCs w:val="18"/>
              </w:rPr>
              <w:t xml:space="preserve">~$400–600</w:t>
            </w:r>
          </w:p>
        </w:tc>
        <w:tc>
          <w:tcPr>
            <w:tcW w:type="dxa" w:w="43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Commercial dehydrator secondhand, additional IBCs to 10–12 total, automated watering timer for substrate moisture</w:t>
            </w:r>
          </w:p>
        </w:tc>
      </w:tr>
    </w:tbl>
    <w:p>
      <w:pPr>
        <w:spacing w:after="0" w:before="120"/>
      </w:pPr>
      <w:r>
        <w:t xml:space="preserve"/>
      </w:r>
    </w:p>
    <w:p>
      <w:pPr>
        <w:pStyle w:val="Heading1"/>
        <w:pBdr>
          <w:bottom w:val="single" w:color="1A1A1A" w:sz="6" w:space="1"/>
        </w:pBdr>
        <w:spacing w:after="120" w:before="280"/>
      </w:pPr>
      <w:r>
        <w:rPr>
          <w:rFonts w:ascii="Arial" w:cs="Arial" w:eastAsia="Arial" w:hAnsi="Arial"/>
          <w:b/>
          <w:bCs/>
          <w:color w:val="1A1A1A"/>
          <w:sz w:val="32"/>
          <w:szCs w:val="32"/>
        </w:rPr>
        <w:t xml:space="preserve">Active Task — Start With the Outer Structure</w:t>
      </w:r>
    </w:p>
    <w:p>
      <w:pPr>
        <w:pBdr>
          <w:left w:val="single" w:color="3C3489" w:sz="12" w:space="6"/>
        </w:pBdr>
        <w:shd w:fill="EEEDFE" w:val="clear"/>
        <w:spacing w:after="100" w:before="100"/>
        <w:ind w:left="240"/>
      </w:pPr>
      <w:r>
        <w:rPr>
          <w:rFonts w:ascii="Arial" w:cs="Arial" w:eastAsia="Arial" w:hAnsi="Arial"/>
          <w:color w:val="1A1A1A"/>
          <w:sz w:val="19"/>
          <w:szCs w:val="19"/>
        </w:rPr>
        <w:t xml:space="preserve">The next conversation should design the outer containment structure first — the shed or polytunnel that forms the outer thermal envelope. This is the logical starting point because every inner system (rearing modules, breeding enclosure, substrate prep, drying) is sized and positioned relative to the outer structure. Getting this right first prevents having to redesign inner systems later.</w:t>
      </w:r>
    </w:p>
    <w:p>
      <w:pPr>
        <w:spacing w:after="0" w:before="80"/>
      </w:pPr>
      <w:r>
        <w:t xml:space="preserve"/>
      </w:r>
    </w:p>
    <w:p>
      <w:pPr>
        <w:pStyle w:val="Heading2"/>
        <w:spacing w:after="80" w:before="200"/>
      </w:pPr>
      <w:r>
        <w:rPr>
          <w:rFonts w:ascii="Arial" w:cs="Arial" w:eastAsia="Arial" w:hAnsi="Arial"/>
          <w:b/>
          <w:bCs/>
          <w:color w:val="4A4A4A"/>
          <w:sz w:val="24"/>
          <w:szCs w:val="24"/>
        </w:rPr>
        <w:t xml:space="preserve">Outer structure requirements</w:t>
      </w:r>
    </w:p>
    <w:p>
      <w:pPr>
        <w:pStyle w:val="ListParagraph"/>
        <w:numPr>
          <w:ilvl w:val="0"/>
          <w:numId w:val="2"/>
        </w:numPr>
        <w:spacing w:after="60"/>
      </w:pPr>
      <w:r>
        <w:rPr>
          <w:rFonts w:ascii="Arial" w:cs="Arial" w:eastAsia="Arial" w:hAnsi="Arial"/>
          <w:color w:val="1A1A1A"/>
          <w:sz w:val="19"/>
          <w:szCs w:val="19"/>
        </w:rPr>
        <w:t xml:space="preserve">Must contain: 6–12 IBC rearing modules, breeding enclosure (2×2×2m min), substrate preparation area, drying/processing area, packaging/dispatch area, frass processing area, chitin extraction bench</w:t>
      </w:r>
    </w:p>
    <w:p>
      <w:pPr>
        <w:pStyle w:val="ListParagraph"/>
        <w:numPr>
          <w:ilvl w:val="0"/>
          <w:numId w:val="2"/>
        </w:numPr>
        <w:spacing w:after="60"/>
      </w:pPr>
      <w:r>
        <w:rPr>
          <w:rFonts w:ascii="Arial" w:cs="Arial" w:eastAsia="Arial" w:hAnsi="Arial"/>
          <w:color w:val="1A1A1A"/>
          <w:sz w:val="19"/>
          <w:szCs w:val="19"/>
        </w:rPr>
        <w:t xml:space="preserve">Must break wind and rain — Lockyer Valley has hot dry summers, cold winters, and occasional severe storms</w:t>
      </w:r>
    </w:p>
    <w:p>
      <w:pPr>
        <w:pStyle w:val="ListParagraph"/>
        <w:numPr>
          <w:ilvl w:val="0"/>
          <w:numId w:val="2"/>
        </w:numPr>
        <w:spacing w:after="60"/>
      </w:pPr>
      <w:r>
        <w:rPr>
          <w:rFonts w:ascii="Arial" w:cs="Arial" w:eastAsia="Arial" w:hAnsi="Arial"/>
          <w:color w:val="1A1A1A"/>
          <w:sz w:val="19"/>
          <w:szCs w:val="19"/>
        </w:rPr>
        <w:t xml:space="preserve">Must buffer temperature swings to reduce inner heating/cooling load — outer envelope doesn't need to be heated, just insulated enough to reduce delta-T</w:t>
      </w:r>
    </w:p>
    <w:p>
      <w:pPr>
        <w:pStyle w:val="ListParagraph"/>
        <w:numPr>
          <w:ilvl w:val="0"/>
          <w:numId w:val="2"/>
        </w:numPr>
        <w:spacing w:after="60"/>
      </w:pPr>
      <w:r>
        <w:rPr>
          <w:rFonts w:ascii="Arial" w:cs="Arial" w:eastAsia="Arial" w:hAnsi="Arial"/>
          <w:color w:val="1A1A1A"/>
          <w:sz w:val="19"/>
          <w:szCs w:val="19"/>
        </w:rPr>
        <w:t xml:space="preserve">Must allow single operator movement between all zones without tight squeeze</w:t>
      </w:r>
    </w:p>
    <w:p>
      <w:pPr>
        <w:pStyle w:val="ListParagraph"/>
        <w:numPr>
          <w:ilvl w:val="0"/>
          <w:numId w:val="2"/>
        </w:numPr>
        <w:spacing w:after="60"/>
      </w:pPr>
      <w:r>
        <w:rPr>
          <w:rFonts w:ascii="Arial" w:cs="Arial" w:eastAsia="Arial" w:hAnsi="Arial"/>
          <w:color w:val="1A1A1A"/>
          <w:sz w:val="19"/>
          <w:szCs w:val="19"/>
        </w:rPr>
        <w:t xml:space="preserve">Must be expandable or replicable — module can be copied at Site 2</w:t>
      </w:r>
    </w:p>
    <w:p>
      <w:pPr>
        <w:pStyle w:val="ListParagraph"/>
        <w:numPr>
          <w:ilvl w:val="0"/>
          <w:numId w:val="2"/>
        </w:numPr>
        <w:spacing w:after="60"/>
      </w:pPr>
      <w:r>
        <w:rPr>
          <w:rFonts w:ascii="Arial" w:cs="Arial" w:eastAsia="Arial" w:hAnsi="Arial"/>
          <w:color w:val="1A1A1A"/>
          <w:sz w:val="19"/>
          <w:szCs w:val="19"/>
        </w:rPr>
        <w:t xml:space="preserve">Options to evaluate: existing farm shed (preferred if available), polytunnel, shade cloth structure, insulated shipping container</w:t>
      </w:r>
    </w:p>
    <w:p>
      <w:pPr>
        <w:spacing w:after="0" w:before="60"/>
      </w:pPr>
      <w:r>
        <w:t xml:space="preserve"/>
      </w:r>
    </w:p>
    <w:p>
      <w:pPr>
        <w:pStyle w:val="Heading2"/>
        <w:spacing w:after="80" w:before="200"/>
      </w:pPr>
      <w:r>
        <w:rPr>
          <w:rFonts w:ascii="Arial" w:cs="Arial" w:eastAsia="Arial" w:hAnsi="Arial"/>
          <w:b/>
          <w:bCs/>
          <w:color w:val="4A4A4A"/>
          <w:sz w:val="24"/>
          <w:szCs w:val="24"/>
        </w:rPr>
        <w:t xml:space="preserve">Key questions for the outer structure design</w:t>
      </w:r>
    </w:p>
    <w:p>
      <w:pPr>
        <w:pStyle w:val="ListParagraph"/>
        <w:numPr>
          <w:ilvl w:val="0"/>
          <w:numId w:val="2"/>
        </w:numPr>
        <w:spacing w:after="60"/>
      </w:pPr>
      <w:r>
        <w:rPr>
          <w:rFonts w:ascii="Arial" w:cs="Arial" w:eastAsia="Arial" w:hAnsi="Arial"/>
          <w:color w:val="1A1A1A"/>
          <w:sz w:val="19"/>
          <w:szCs w:val="19"/>
        </w:rPr>
        <w:t xml:space="preserve">What existing structures are on the property that could be repurposed or extended?</w:t>
      </w:r>
    </w:p>
    <w:p>
      <w:pPr>
        <w:pStyle w:val="ListParagraph"/>
        <w:numPr>
          <w:ilvl w:val="0"/>
          <w:numId w:val="2"/>
        </w:numPr>
        <w:spacing w:after="60"/>
      </w:pPr>
      <w:r>
        <w:rPr>
          <w:rFonts w:ascii="Arial" w:cs="Arial" w:eastAsia="Arial" w:hAnsi="Arial"/>
          <w:color w:val="1A1A1A"/>
          <w:sz w:val="19"/>
          <w:szCs w:val="19"/>
        </w:rPr>
        <w:t xml:space="preserve">What is the approximate footprint available?</w:t>
      </w:r>
    </w:p>
    <w:p>
      <w:pPr>
        <w:pStyle w:val="ListParagraph"/>
        <w:numPr>
          <w:ilvl w:val="0"/>
          <w:numId w:val="2"/>
        </w:numPr>
        <w:spacing w:after="60"/>
      </w:pPr>
      <w:r>
        <w:rPr>
          <w:rFonts w:ascii="Arial" w:cs="Arial" w:eastAsia="Arial" w:hAnsi="Arial"/>
          <w:color w:val="1A1A1A"/>
          <w:sz w:val="19"/>
          <w:szCs w:val="19"/>
        </w:rPr>
        <w:t xml:space="preserve">Is there 3-phase power or only single-phase at the site?</w:t>
      </w:r>
    </w:p>
    <w:p>
      <w:pPr>
        <w:pStyle w:val="ListParagraph"/>
        <w:numPr>
          <w:ilvl w:val="0"/>
          <w:numId w:val="2"/>
        </w:numPr>
        <w:spacing w:after="60"/>
      </w:pPr>
      <w:r>
        <w:rPr>
          <w:rFonts w:ascii="Arial" w:cs="Arial" w:eastAsia="Arial" w:hAnsi="Arial"/>
          <w:color w:val="1A1A1A"/>
          <w:sz w:val="19"/>
          <w:szCs w:val="19"/>
        </w:rPr>
        <w:t xml:space="preserve">What is the prevailing wind direction in winter? (affects ventilation design)</w:t>
      </w:r>
    </w:p>
    <w:p>
      <w:pPr>
        <w:pStyle w:val="ListParagraph"/>
        <w:numPr>
          <w:ilvl w:val="0"/>
          <w:numId w:val="2"/>
        </w:numPr>
        <w:spacing w:after="60"/>
      </w:pPr>
      <w:r>
        <w:rPr>
          <w:rFonts w:ascii="Arial" w:cs="Arial" w:eastAsia="Arial" w:hAnsi="Arial"/>
          <w:color w:val="1A1A1A"/>
          <w:sz w:val="19"/>
          <w:szCs w:val="19"/>
        </w:rPr>
        <w:t xml:space="preserve">What is the minimum overnight temperature recorded on the property in winter?</w:t>
      </w:r>
    </w:p>
    <w:p>
      <w:pPr>
        <w:spacing w:after="0" w:before="80"/>
      </w:pPr>
      <w:r>
        <w:t xml:space="preserve"/>
      </w:r>
    </w:p>
    <w:p>
      <w:pPr>
        <w:pStyle w:val="Heading2"/>
        <w:spacing w:after="80" w:before="200"/>
      </w:pPr>
      <w:r>
        <w:rPr>
          <w:rFonts w:ascii="Arial" w:cs="Arial" w:eastAsia="Arial" w:hAnsi="Arial"/>
          <w:b/>
          <w:bCs/>
          <w:color w:val="4A4A4A"/>
          <w:sz w:val="24"/>
          <w:szCs w:val="24"/>
        </w:rPr>
        <w:t xml:space="preserve">Reference: BSFL biology constraints for the design</w:t>
      </w:r>
    </w:p>
    <w:tbl>
      <w:tblPr>
        <w:tblW w:type="dxa" w:w="9746"/>
      </w:tblPr>
      <w:tblGrid>
        <w:gridCol w:w="3000"/>
        <w:gridCol w:w="6746"/>
      </w:tblGrid>
      <w:tr>
        <w:tc>
          <w:tcPr>
            <w:tcW w:type="dxa" w:w="30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Parameter</w:t>
            </w:r>
          </w:p>
        </w:tc>
        <w:tc>
          <w:tcPr>
            <w:tcW w:type="dxa" w:w="6746"/>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Value / constraint</w:t>
            </w:r>
          </w:p>
        </w:tc>
      </w:tr>
      <w:tr>
        <w:tc>
          <w:tcPr>
            <w:tcW w:type="dxa" w:w="30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Optimal rearing temperature</w:t>
            </w:r>
          </w:p>
        </w:tc>
        <w:tc>
          <w:tcPr>
            <w:tcW w:type="dxa" w:w="6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27–30°C. Growth slows significantly below 20°C. Stalls below 15°C. Mortality above 36°C and below 10°C.</w:t>
            </w:r>
          </w:p>
        </w:tc>
      </w:tr>
      <w:tr>
        <w:tc>
          <w:tcPr>
            <w:tcW w:type="dxa" w:w="30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Optimal humidity (rearing)</w:t>
            </w:r>
          </w:p>
        </w:tc>
        <w:tc>
          <w:tcPr>
            <w:tcW w:type="dxa" w:w="6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60–70% relative humidity</w:t>
            </w:r>
          </w:p>
        </w:tc>
      </w:tr>
      <w:tr>
        <w:tc>
          <w:tcPr>
            <w:tcW w:type="dxa" w:w="30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Adult mating temperature</w:t>
            </w:r>
          </w:p>
        </w:tc>
        <w:tc>
          <w:tcPr>
            <w:tcW w:type="dxa" w:w="6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27–30°C required. Adults will not mate below ~24°C.</w:t>
            </w:r>
          </w:p>
        </w:tc>
      </w:tr>
      <w:tr>
        <w:tc>
          <w:tcPr>
            <w:tcW w:type="dxa" w:w="30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Cycle time at 27°C</w:t>
            </w:r>
          </w:p>
        </w:tc>
        <w:tc>
          <w:tcPr>
            <w:tcW w:type="dxa" w:w="6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12–14 days larval phase. Faster in summer, slower in winter.</w:t>
            </w:r>
          </w:p>
        </w:tc>
      </w:tr>
      <w:tr>
        <w:tc>
          <w:tcPr>
            <w:tcW w:type="dxa" w:w="30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Cycle time at 20°C</w:t>
            </w:r>
          </w:p>
        </w:tc>
        <w:tc>
          <w:tcPr>
            <w:tcW w:type="dxa" w:w="6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18–25 days — significantly impacts throughput and cashflow planning.</w:t>
            </w:r>
          </w:p>
        </w:tc>
      </w:tr>
      <w:tr>
        <w:tc>
          <w:tcPr>
            <w:tcW w:type="dxa" w:w="30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Space per IBC module</w:t>
            </w:r>
          </w:p>
        </w:tc>
        <w:tc>
          <w:tcPr>
            <w:tcW w:type="dxa" w:w="6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~1.2m × 1.2m footprint including access and self-harvest ramp clearance</w:t>
            </w:r>
          </w:p>
        </w:tc>
      </w:tr>
      <w:tr>
        <w:tc>
          <w:tcPr>
            <w:tcW w:type="dxa" w:w="30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Waste substrate odour</w:t>
            </w:r>
          </w:p>
        </w:tc>
        <w:tc>
          <w:tcPr>
            <w:tcW w:type="dxa" w:w="6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Managed by proper C:N ratio and moisture control. High-moisture waste without bran addition is the main odour cause.</w:t>
            </w:r>
          </w:p>
        </w:tc>
      </w:tr>
      <w:tr>
        <w:tc>
          <w:tcPr>
            <w:tcW w:type="dxa" w:w="30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Fly escape risk</w:t>
            </w:r>
          </w:p>
        </w:tc>
        <w:tc>
          <w:tcPr>
            <w:tcW w:type="dxa" w:w="6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1mm mesh on all ventilation openings. Adults confined to breeding enclosure only.</w:t>
            </w:r>
          </w:p>
        </w:tc>
      </w:tr>
      <w:tr>
        <w:tc>
          <w:tcPr>
            <w:tcW w:type="dxa" w:w="30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Biosecurity</w:t>
            </w:r>
          </w:p>
        </w:tc>
        <w:tc>
          <w:tcPr>
            <w:tcW w:type="dxa" w:w="6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Separate substrate receiving area to prevent contamination entering rearing zone.</w:t>
            </w:r>
          </w:p>
        </w:tc>
      </w:tr>
    </w:tbl>
    <w:p>
      <w:pPr>
        <w:spacing w:after="0" w:before="120"/>
      </w:pPr>
      <w:r>
        <w:t xml:space="preserve"/>
      </w:r>
    </w:p>
    <w:p>
      <w:pPr>
        <w:pStyle w:val="Heading1"/>
        <w:pBdr>
          <w:bottom w:val="single" w:color="1A1A1A" w:sz="6" w:space="1"/>
        </w:pBdr>
        <w:spacing w:after="120" w:before="280"/>
      </w:pPr>
      <w:r>
        <w:rPr>
          <w:rFonts w:ascii="Arial" w:cs="Arial" w:eastAsia="Arial" w:hAnsi="Arial"/>
          <w:b/>
          <w:bCs/>
          <w:color w:val="1A1A1A"/>
          <w:sz w:val="32"/>
          <w:szCs w:val="32"/>
        </w:rPr>
        <w:t xml:space="preserve">Regulatory &amp; Compliance Snapshot</w:t>
      </w:r>
    </w:p>
    <w:tbl>
      <w:tblPr>
        <w:tblW w:type="dxa" w:w="9746"/>
      </w:tblPr>
      <w:tblGrid>
        <w:gridCol w:w="2800"/>
        <w:gridCol w:w="1600"/>
        <w:gridCol w:w="1600"/>
        <w:gridCol w:w="3746"/>
      </w:tblGrid>
      <w:tr>
        <w:tc>
          <w:tcPr>
            <w:tcW w:type="dxa" w:w="28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Item</w:t>
            </w:r>
          </w:p>
        </w:tc>
        <w:tc>
          <w:tcPr>
            <w:tcW w:type="dxa" w:w="16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Status</w:t>
            </w:r>
          </w:p>
        </w:tc>
        <w:tc>
          <w:tcPr>
            <w:tcW w:type="dxa" w:w="16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Authority</w:t>
            </w:r>
          </w:p>
        </w:tc>
        <w:tc>
          <w:tcPr>
            <w:tcW w:type="dxa" w:w="3746"/>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Notes</w:t>
            </w:r>
          </w:p>
        </w:tc>
      </w:tr>
      <w:tr>
        <w:tc>
          <w:tcPr>
            <w:tcW w:type="dxa" w:w="2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ABN / Pty Ltd registration</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633806"/>
                <w:sz w:val="18"/>
                <w:szCs w:val="18"/>
              </w:rPr>
              <w:t xml:space="preserve">To do — Day 1</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ASIC / ABR</w:t>
            </w:r>
          </w:p>
        </w:tc>
        <w:tc>
          <w:tcPr>
            <w:tcW w:type="dxa" w:w="3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Register Pty Ltd ($576 ASIC). Simultaneously register business name ($42). GST registration from day one.</w:t>
            </w:r>
          </w:p>
        </w:tc>
      </w:tr>
      <w:tr>
        <w:tc>
          <w:tcPr>
            <w:tcW w:type="dxa" w:w="2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Shareholders agreement</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633806"/>
                <w:sz w:val="18"/>
                <w:szCs w:val="18"/>
              </w:rPr>
              <w:t xml:space="preserve">To do — before operating</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Solicitor</w:t>
            </w:r>
          </w:p>
        </w:tc>
        <w:tc>
          <w:tcPr>
            <w:tcW w:type="dxa" w:w="3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51/49 split. IP ownership clause critical — rearing protocol owned by company not individuals. Budget $500–800.</w:t>
            </w:r>
          </w:p>
        </w:tc>
      </w:tr>
      <w:tr>
        <w:tc>
          <w:tcPr>
            <w:tcW w:type="dxa" w:w="2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LVRC Environmental Health consultation</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633806"/>
                <w:sz w:val="18"/>
                <w:szCs w:val="18"/>
              </w:rPr>
              <w:t xml:space="preserve">To do — Week 1–2</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LVRC 1300 005 872</w:t>
            </w:r>
          </w:p>
        </w:tc>
        <w:tc>
          <w:tcPr>
            <w:tcW w:type="dxa" w:w="3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Confirm zoning allows waste processing + insect rearing on property. Free. Get written confirmation.</w:t>
            </w:r>
          </w:p>
        </w:tc>
      </w:tr>
      <w:tr>
        <w:tc>
          <w:tcPr>
            <w:tcW w:type="dxa" w:w="2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Biosecurity QLD — substrate approval</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633806"/>
                <w:sz w:val="18"/>
                <w:szCs w:val="18"/>
              </w:rPr>
              <w:t xml:space="preserve">To do — Week 2</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DAF 13 25 23</w:t>
            </w:r>
          </w:p>
        </w:tc>
        <w:tc>
          <w:tcPr>
            <w:tcW w:type="dxa" w:w="3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Confirm permitted food waste streams for BSFL reared as poultry/pet feed in QLD. Written confirmation required before waste contracts.</w:t>
            </w:r>
          </w:p>
        </w:tc>
      </w:tr>
      <w:tr>
        <w:tc>
          <w:tcPr>
            <w:tcW w:type="dxa" w:w="2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DES waste management advice</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633806"/>
                <w:sz w:val="18"/>
                <w:szCs w:val="18"/>
              </w:rPr>
              <w:t xml:space="preserve">To do — Week 2</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info@des.qld.gov.au</w:t>
            </w:r>
          </w:p>
        </w:tc>
        <w:tc>
          <w:tcPr>
            <w:tcW w:type="dxa" w:w="3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Confirm whether small-scale BSFL bioconversion requires Environmental Authority or qualifies for exemption.</w:t>
            </w:r>
          </w:p>
        </w:tc>
      </w:tr>
      <w:tr>
        <w:tc>
          <w:tcPr>
            <w:tcW w:type="dxa" w:w="2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Product liability insurance</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633806"/>
                <w:sz w:val="18"/>
                <w:szCs w:val="18"/>
              </w:rPr>
              <w:t xml:space="preserve">To do — before first sale</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Elders / Gallagher / Primacy</w:t>
            </w:r>
          </w:p>
        </w:tc>
        <w:tc>
          <w:tcPr>
            <w:tcW w:type="dxa" w:w="3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~$180–300/year. Required before any product sale.</w:t>
            </w:r>
          </w:p>
        </w:tc>
      </w:tr>
      <w:tr>
        <w:tc>
          <w:tcPr>
            <w:tcW w:type="dxa" w:w="2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Animal feed notification (DAF QLD)</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633806"/>
                <w:sz w:val="18"/>
                <w:szCs w:val="18"/>
              </w:rPr>
              <w:t xml:space="preserve">To do — before feed sales</w:t>
            </w:r>
          </w:p>
        </w:tc>
        <w:tc>
          <w:tcPr>
            <w:tcW w:type="dxa" w:w="16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daf.qld.gov.au</w:t>
            </w:r>
          </w:p>
        </w:tc>
        <w:tc>
          <w:tcPr>
            <w:tcW w:type="dxa" w:w="3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Aquaculture = clearest first market. Poultry: confirm QLD stockfeed registration requirements.</w:t>
            </w:r>
          </w:p>
        </w:tc>
      </w:tr>
      <w:tr>
        <w:tc>
          <w:tcPr>
            <w:tcW w:type="dxa" w:w="2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QLD biofuels sustainability (future)</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633806"/>
                <w:sz w:val="18"/>
                <w:szCs w:val="18"/>
              </w:rPr>
              <w:t xml:space="preserve">Year 2+</w:t>
            </w:r>
          </w:p>
        </w:tc>
        <w:tc>
          <w:tcPr>
            <w:tcW w:type="dxa" w:w="16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info@des.qld.gov.au</w:t>
            </w:r>
          </w:p>
        </w:tc>
        <w:tc>
          <w:tcPr>
            <w:tcW w:type="dxa" w:w="3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Waste-derived biodiesel only needs GHG criterion (20% saving vs diesel). Easy to meet.</w:t>
            </w:r>
          </w:p>
        </w:tc>
      </w:tr>
    </w:tbl>
    <w:p>
      <w:pPr>
        <w:spacing w:after="0" w:before="120"/>
      </w:pPr>
      <w:r>
        <w:t xml:space="preserve"/>
      </w:r>
    </w:p>
    <w:p>
      <w:pPr>
        <w:pStyle w:val="Heading1"/>
        <w:pBdr>
          <w:bottom w:val="single" w:color="1A1A1A" w:sz="6" w:space="1"/>
        </w:pBdr>
        <w:spacing w:after="120" w:before="280"/>
      </w:pPr>
      <w:r>
        <w:rPr>
          <w:rFonts w:ascii="Arial" w:cs="Arial" w:eastAsia="Arial" w:hAnsi="Arial"/>
          <w:b/>
          <w:bCs/>
          <w:color w:val="1A1A1A"/>
          <w:sz w:val="32"/>
          <w:szCs w:val="32"/>
        </w:rPr>
        <w:t xml:space="preserve">Scale-Up Reference</w:t>
      </w:r>
    </w:p>
    <w:p>
      <w:pPr>
        <w:pStyle w:val="Heading2"/>
        <w:spacing w:after="80" w:before="200"/>
      </w:pPr>
      <w:r>
        <w:rPr>
          <w:rFonts w:ascii="Arial" w:cs="Arial" w:eastAsia="Arial" w:hAnsi="Arial"/>
          <w:b/>
          <w:bCs/>
          <w:color w:val="4A4A4A"/>
          <w:sz w:val="24"/>
          <w:szCs w:val="24"/>
        </w:rPr>
        <w:t xml:space="preserve">Site rollout plan</w:t>
      </w:r>
    </w:p>
    <w:tbl>
      <w:tblPr>
        <w:tblW w:type="dxa" w:w="9746"/>
      </w:tblPr>
      <w:tblGrid>
        <w:gridCol w:w="2400"/>
        <w:gridCol w:w="1400"/>
        <w:gridCol w:w="1400"/>
        <w:gridCol w:w="1800"/>
        <w:gridCol w:w="2746"/>
      </w:tblGrid>
      <w:tr>
        <w:tc>
          <w:tcPr>
            <w:tcW w:type="dxa" w:w="24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Site</w:t>
            </w:r>
          </w:p>
        </w:tc>
        <w:tc>
          <w:tcPr>
            <w:tcW w:type="dxa" w:w="14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Location</w:t>
            </w:r>
          </w:p>
        </w:tc>
        <w:tc>
          <w:tcPr>
            <w:tcW w:type="dxa" w:w="14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Timing</w:t>
            </w:r>
          </w:p>
        </w:tc>
        <w:tc>
          <w:tcPr>
            <w:tcW w:type="dxa" w:w="1800"/>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Revenue est.</w:t>
            </w:r>
          </w:p>
        </w:tc>
        <w:tc>
          <w:tcPr>
            <w:tcW w:type="dxa" w:w="2746"/>
            <w:tcBorders>
              <w:top w:val="single" w:color="E0E0E0" w:sz="1"/>
              <w:start w:val="single" w:color="E0E0E0" w:sz="1"/>
              <w:bottom w:val="single" w:color="E0E0E0" w:sz="1"/>
              <w:end w:val="single" w:color="E0E0E0" w:sz="1"/>
            </w:tcBorders>
            <w:shd w:fill="F1EFE8" w:val="clear"/>
            <w:tcMar>
              <w:top w:type="dxa" w:w="80"/>
              <w:start w:type="dxa" w:w="120"/>
              <w:bottom w:type="dxa" w:w="80"/>
              <w:end w:type="dxa" w:w="120"/>
            </w:tcMar>
          </w:tcPr>
          <w:p>
            <w:r>
              <w:rPr>
                <w:b/>
                <w:bCs/>
                <w:i w:val="false"/>
                <w:iCs w:val="false"/>
                <w:color w:val="4A4A4A"/>
                <w:sz w:val="16"/>
                <w:szCs w:val="16"/>
              </w:rPr>
              <w:t xml:space="preserve">Funding</w:t>
            </w:r>
          </w:p>
        </w:tc>
      </w:tr>
      <w:tr>
        <w:tc>
          <w:tcPr>
            <w:tcW w:type="dxa" w:w="2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Site 1 — Lockyer Valley (anchor + breeding hub)</w:t>
            </w:r>
          </w:p>
        </w:tc>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Gatton/Laidley own farm</w:t>
            </w:r>
          </w:p>
        </w:tc>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Apr 2026</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27500A"/>
                <w:sz w:val="18"/>
                <w:szCs w:val="18"/>
              </w:rPr>
              <w:t xml:space="preserve">$25k–$200k/yr</w:t>
            </w:r>
          </w:p>
        </w:tc>
        <w:tc>
          <w:tcPr>
            <w:tcW w:type="dxa" w:w="2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Personal capital + product revenue</w:t>
            </w:r>
          </w:p>
        </w:tc>
      </w:tr>
      <w:tr>
        <w:tc>
          <w:tcPr>
            <w:tcW w:type="dxa" w:w="2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Site 2 — Ipswich corridor</w:t>
            </w:r>
          </w:p>
        </w:tc>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Ipswich industrial estate</w:t>
            </w:r>
          </w:p>
        </w:tc>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2027</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27500A"/>
                <w:sz w:val="18"/>
                <w:szCs w:val="18"/>
              </w:rPr>
              <w:t xml:space="preserve">~$400k–700k/yr</w:t>
            </w:r>
          </w:p>
        </w:tc>
        <w:tc>
          <w:tcPr>
            <w:tcW w:type="dxa" w:w="2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Site 1 cashflow + SEQ City Deal grant</w:t>
            </w:r>
          </w:p>
        </w:tc>
      </w:tr>
      <w:tr>
        <w:tc>
          <w:tcPr>
            <w:tcW w:type="dxa" w:w="2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Site 3 — Logan/Beaudesert</w:t>
            </w:r>
          </w:p>
        </w:tc>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Carole Park / Loganholme</w:t>
            </w:r>
          </w:p>
        </w:tc>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2028</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27500A"/>
                <w:sz w:val="18"/>
                <w:szCs w:val="18"/>
              </w:rPr>
              <w:t xml:space="preserve">~$700k–1.2M/yr</w:t>
            </w:r>
          </w:p>
        </w:tc>
        <w:tc>
          <w:tcPr>
            <w:tcW w:type="dxa" w:w="2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Sites 1+2 cashflow + ARENA grant</w:t>
            </w:r>
          </w:p>
        </w:tc>
      </w:tr>
      <w:tr>
        <w:tc>
          <w:tcPr>
            <w:tcW w:type="dxa" w:w="2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Site 4 — Sunshine Coast fringe</w:t>
            </w:r>
          </w:p>
        </w:tc>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Warana / Kunda Park</w:t>
            </w:r>
          </w:p>
        </w:tc>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2029</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27500A"/>
                <w:sz w:val="18"/>
                <w:szCs w:val="18"/>
              </w:rPr>
              <w:t xml:space="preserve">~$1.2M–1.8M/yr</w:t>
            </w:r>
          </w:p>
        </w:tc>
        <w:tc>
          <w:tcPr>
            <w:tcW w:type="dxa" w:w="2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Retained earnings + debt against Sites 1–3</w:t>
            </w:r>
          </w:p>
        </w:tc>
      </w:tr>
      <w:tr>
        <w:tc>
          <w:tcPr>
            <w:tcW w:type="dxa" w:w="2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1A1A1A"/>
                <w:sz w:val="18"/>
                <w:szCs w:val="18"/>
              </w:rPr>
              <w:t xml:space="preserve">Site 5 — Gold Coast fringe</w:t>
            </w:r>
          </w:p>
        </w:tc>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1A1A1A"/>
                <w:sz w:val="18"/>
                <w:szCs w:val="18"/>
              </w:rPr>
              <w:t xml:space="preserve">Arundel / Molendinar</w:t>
            </w:r>
          </w:p>
        </w:tc>
        <w:tc>
          <w:tcPr>
            <w:tcW w:type="dxa" w:w="14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085041"/>
                <w:sz w:val="18"/>
                <w:szCs w:val="18"/>
              </w:rPr>
              <w:t xml:space="preserve">2030</w:t>
            </w:r>
          </w:p>
        </w:tc>
        <w:tc>
          <w:tcPr>
            <w:tcW w:type="dxa" w:w="1800"/>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bCs/>
                <w:i w:val="false"/>
                <w:iCs w:val="false"/>
                <w:color w:val="27500A"/>
                <w:sz w:val="18"/>
                <w:szCs w:val="18"/>
              </w:rPr>
              <w:t xml:space="preserve">~$1.8M–2.8M/yr</w:t>
            </w:r>
          </w:p>
        </w:tc>
        <w:tc>
          <w:tcPr>
            <w:tcW w:type="dxa" w:w="2746"/>
            <w:tcBorders>
              <w:top w:val="single" w:color="E0E0E0" w:sz="1"/>
              <w:start w:val="single" w:color="E0E0E0" w:sz="1"/>
              <w:bottom w:val="single" w:color="E0E0E0" w:sz="1"/>
              <w:end w:val="single" w:color="E0E0E0" w:sz="1"/>
            </w:tcBorders>
            <w:tcMar>
              <w:top w:type="dxa" w:w="80"/>
              <w:start w:type="dxa" w:w="120"/>
              <w:bottom w:type="dxa" w:w="80"/>
              <w:end w:type="dxa" w:w="120"/>
            </w:tcMar>
          </w:tcPr>
          <w:p>
            <w:r>
              <w:rPr>
                <w:b w:val="false"/>
                <w:bCs w:val="false"/>
                <w:i w:val="false"/>
                <w:iCs w:val="false"/>
                <w:color w:val="4A4A4A"/>
                <w:sz w:val="18"/>
                <w:szCs w:val="18"/>
              </w:rPr>
              <w:t xml:space="preserve">Retained earnings + council waste contract</w:t>
            </w:r>
          </w:p>
        </w:tc>
      </w:tr>
      <w:tr>
        <w:tc>
          <w:tcPr>
            <w:tcW w:type="dxa" w:w="2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1A1A1A"/>
                <w:sz w:val="18"/>
                <w:szCs w:val="18"/>
              </w:rPr>
              <w:t xml:space="preserve">Central biodiesel/SAF hub</w:t>
            </w:r>
          </w:p>
        </w:tc>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1A1A1A"/>
                <w:sz w:val="18"/>
                <w:szCs w:val="18"/>
              </w:rPr>
              <w:t xml:space="preserve">Lockyer Valley or Ipswich</w:t>
            </w:r>
          </w:p>
        </w:tc>
        <w:tc>
          <w:tcPr>
            <w:tcW w:type="dxa" w:w="14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085041"/>
                <w:sz w:val="18"/>
                <w:szCs w:val="18"/>
              </w:rPr>
              <w:t xml:space="preserve">2031–32</w:t>
            </w:r>
          </w:p>
        </w:tc>
        <w:tc>
          <w:tcPr>
            <w:tcW w:type="dxa" w:w="1800"/>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bCs/>
                <w:i w:val="false"/>
                <w:iCs w:val="false"/>
                <w:color w:val="27500A"/>
                <w:sz w:val="18"/>
                <w:szCs w:val="18"/>
              </w:rPr>
              <w:t xml:space="preserve">+$1M–3M/yr</w:t>
            </w:r>
          </w:p>
        </w:tc>
        <w:tc>
          <w:tcPr>
            <w:tcW w:type="dxa" w:w="2746"/>
            <w:tcBorders>
              <w:top w:val="single" w:color="E0E0E0" w:sz="1"/>
              <w:start w:val="single" w:color="E0E0E0" w:sz="1"/>
              <w:bottom w:val="single" w:color="E0E0E0" w:sz="1"/>
              <w:end w:val="single" w:color="E0E0E0" w:sz="1"/>
            </w:tcBorders>
            <w:shd w:fill="F7F7F5" w:val="clear"/>
            <w:tcMar>
              <w:top w:type="dxa" w:w="80"/>
              <w:start w:type="dxa" w:w="120"/>
              <w:bottom w:type="dxa" w:w="80"/>
              <w:end w:type="dxa" w:w="120"/>
            </w:tcMar>
          </w:tcPr>
          <w:p>
            <w:r>
              <w:rPr>
                <w:b w:val="false"/>
                <w:bCs w:val="false"/>
                <w:i w:val="false"/>
                <w:iCs w:val="false"/>
                <w:color w:val="4A4A4A"/>
                <w:sz w:val="18"/>
                <w:szCs w:val="18"/>
              </w:rPr>
              <w:t xml:space="preserve">ARENA + QLD Govt biofuels mandate grant</w:t>
            </w:r>
          </w:p>
        </w:tc>
      </w:tr>
    </w:tbl>
    <w:p>
      <w:pPr>
        <w:spacing w:after="0" w:before="80"/>
      </w:pPr>
      <w:r>
        <w:t xml:space="preserve"/>
      </w:r>
    </w:p>
    <w:p>
      <w:pPr>
        <w:pBdr>
          <w:left w:val="single" w:color="27500A" w:sz="12" w:space="6"/>
        </w:pBdr>
        <w:shd w:fill="EAF3DE" w:val="clear"/>
        <w:spacing w:after="100" w:before="100"/>
        <w:ind w:left="240"/>
      </w:pPr>
      <w:r>
        <w:rPr>
          <w:rFonts w:ascii="Arial" w:cs="Arial" w:eastAsia="Arial" w:hAnsi="Arial"/>
          <w:color w:val="1A1A1A"/>
          <w:sz w:val="19"/>
          <w:szCs w:val="19"/>
        </w:rPr>
        <w:t xml:space="preserve">Site 1 Lockyer Valley is permanently the breeding hub — it supplies eggs to all future sites. Every subsequent site is rearing-and-processing only, seeded from the parent Lockyer Valley colony. This means Site 1 never becomes redundant and retains strategic centrality in the network.</w:t>
      </w:r>
    </w:p>
    <w:p>
      <w:pPr>
        <w:spacing w:after="0" w:before="120"/>
      </w:pPr>
      <w:r>
        <w:t xml:space="preserve"/>
      </w:r>
    </w:p>
    <w:p>
      <w:pPr>
        <w:pStyle w:val="Heading1"/>
        <w:pBdr>
          <w:bottom w:val="single" w:color="1A1A1A" w:sz="6" w:space="1"/>
        </w:pBdr>
        <w:spacing w:after="120" w:before="280"/>
      </w:pPr>
      <w:r>
        <w:rPr>
          <w:rFonts w:ascii="Arial" w:cs="Arial" w:eastAsia="Arial" w:hAnsi="Arial"/>
          <w:b/>
          <w:bCs/>
          <w:color w:val="1A1A1A"/>
          <w:sz w:val="32"/>
          <w:szCs w:val="32"/>
        </w:rPr>
        <w:t xml:space="preserve">Instructions for New Chat</w:t>
      </w:r>
    </w:p>
    <w:p>
      <w:pPr>
        <w:pBdr>
          <w:left w:val="single" w:color="085041" w:sz="12" w:space="6"/>
        </w:pBdr>
        <w:shd w:fill="E1F5EE" w:val="clear"/>
        <w:spacing w:after="100" w:before="100"/>
        <w:ind w:left="240"/>
      </w:pPr>
      <w:r>
        <w:rPr>
          <w:rFonts w:ascii="Arial" w:cs="Arial" w:eastAsia="Arial" w:hAnsi="Arial"/>
          <w:color w:val="1A1A1A"/>
          <w:sz w:val="19"/>
          <w:szCs w:val="19"/>
        </w:rPr>
        <w:t xml:space="preserve">Paste this document at the start of a new conversation. The AI will have full context on the business, financials, products, partner structure, and physical design principles established to date. The active task is designing the outer containment structure of Site 1 as the first step in building the physical facility.</w:t>
      </w:r>
    </w:p>
    <w:p>
      <w:pPr>
        <w:spacing w:after="0" w:before="80"/>
      </w:pPr>
      <w:r>
        <w:t xml:space="preserve"/>
      </w:r>
    </w:p>
    <w:p>
      <w:pPr>
        <w:pStyle w:val="Heading2"/>
        <w:spacing w:after="80" w:before="200"/>
      </w:pPr>
      <w:r>
        <w:rPr>
          <w:rFonts w:ascii="Arial" w:cs="Arial" w:eastAsia="Arial" w:hAnsi="Arial"/>
          <w:b/>
          <w:bCs/>
          <w:color w:val="4A4A4A"/>
          <w:sz w:val="24"/>
          <w:szCs w:val="24"/>
        </w:rPr>
        <w:t xml:space="preserve">Suggested opening prompt for new chat</w:t>
      </w:r>
    </w:p>
    <w:p>
      <w:pPr>
        <w:pBdr>
          <w:top w:val="single" w:color="E0E0E0" w:sz="4"/>
          <w:bottom w:val="single" w:color="E0E0E0" w:sz="4"/>
          <w:left w:val="single" w:color="E0E0E0" w:sz="4"/>
          <w:right w:val="single" w:color="E0E0E0" w:sz="4"/>
        </w:pBdr>
        <w:shd w:fill="F1EFE8" w:val="clear"/>
        <w:spacing w:after="80" w:before="80"/>
        <w:ind w:left="180" w:right="180"/>
      </w:pPr>
      <w:r>
        <w:rPr>
          <w:rFonts w:ascii="Arial" w:cs="Arial" w:eastAsia="Arial" w:hAnsi="Arial"/>
          <w:i/>
          <w:iCs/>
          <w:color w:val="1A1A1A"/>
          <w:sz w:val="20"/>
          <w:szCs w:val="20"/>
        </w:rPr>
        <w:t xml:space="preserve">I'm building a commercial BSFL (Black Soldier Fly Larvae) operation on my farm in the Lockyer Valley, Queensland. The attached document has full context on the business plan, financials, and physical design principles established so far. I want to start designing the physical facility from the outside in. Please design the outer containment structure — the shed or polytunnel that forms the outer thermal envelope for the whole operation. My property reaches below 0°C in winter. I want to build as much as possible myself, cheaply, with modular units that can be replicated at future sites. I'm a single operator with no heavy machinery until I can buy it from profits.</w:t>
      </w:r>
    </w:p>
    <w:p>
      <w:pPr>
        <w:spacing w:after="0" w:before="80"/>
      </w:pPr>
      <w:r>
        <w:t xml:space="preserve"/>
      </w:r>
    </w:p>
    <w:p>
      <w:pPr>
        <w:spacing w:after="80"/>
      </w:pPr>
      <w:r>
        <w:rPr>
          <w:rFonts w:ascii="Arial" w:cs="Arial" w:eastAsia="Arial" w:hAnsi="Arial"/>
          <w:b w:val="false"/>
          <w:bCs w:val="false"/>
          <w:i w:val="false"/>
          <w:iCs w:val="false"/>
          <w:color w:val="1A1A1A"/>
          <w:sz w:val="20"/>
          <w:szCs w:val="20"/>
        </w:rPr>
        <w:t xml:space="preserve">Key context the new chat will need from you:</w:t>
      </w:r>
    </w:p>
    <w:p>
      <w:pPr>
        <w:pStyle w:val="ListParagraph"/>
        <w:numPr>
          <w:ilvl w:val="0"/>
          <w:numId w:val="2"/>
        </w:numPr>
        <w:spacing w:after="60"/>
      </w:pPr>
      <w:r>
        <w:rPr>
          <w:rFonts w:ascii="Arial" w:cs="Arial" w:eastAsia="Arial" w:hAnsi="Arial"/>
          <w:color w:val="1A1A1A"/>
          <w:sz w:val="19"/>
          <w:szCs w:val="19"/>
        </w:rPr>
        <w:t xml:space="preserve">What existing structures are on your property (shed size, materials, orientation)?</w:t>
      </w:r>
    </w:p>
    <w:p>
      <w:pPr>
        <w:pStyle w:val="ListParagraph"/>
        <w:numPr>
          <w:ilvl w:val="0"/>
          <w:numId w:val="2"/>
        </w:numPr>
        <w:spacing w:after="60"/>
      </w:pPr>
      <w:r>
        <w:rPr>
          <w:rFonts w:ascii="Arial" w:cs="Arial" w:eastAsia="Arial" w:hAnsi="Arial"/>
          <w:color w:val="1A1A1A"/>
          <w:sz w:val="19"/>
          <w:szCs w:val="19"/>
        </w:rPr>
        <w:t xml:space="preserve">Approximate footprint available for the operation</w:t>
      </w:r>
    </w:p>
    <w:p>
      <w:pPr>
        <w:pStyle w:val="ListParagraph"/>
        <w:numPr>
          <w:ilvl w:val="0"/>
          <w:numId w:val="2"/>
        </w:numPr>
        <w:spacing w:after="60"/>
      </w:pPr>
      <w:r>
        <w:rPr>
          <w:rFonts w:ascii="Arial" w:cs="Arial" w:eastAsia="Arial" w:hAnsi="Arial"/>
          <w:color w:val="1A1A1A"/>
          <w:sz w:val="19"/>
          <w:szCs w:val="19"/>
        </w:rPr>
        <w:t xml:space="preserve">Single-phase or three-phase power at the site?</w:t>
      </w:r>
    </w:p>
    <w:p>
      <w:pPr>
        <w:pStyle w:val="ListParagraph"/>
        <w:numPr>
          <w:ilvl w:val="0"/>
          <w:numId w:val="2"/>
        </w:numPr>
        <w:spacing w:after="60"/>
      </w:pPr>
      <w:r>
        <w:rPr>
          <w:rFonts w:ascii="Arial" w:cs="Arial" w:eastAsia="Arial" w:hAnsi="Arial"/>
          <w:color w:val="1A1A1A"/>
          <w:sz w:val="19"/>
          <w:szCs w:val="19"/>
        </w:rPr>
        <w:t xml:space="preserve">Prevailing wind direction in winter on your property</w:t>
      </w:r>
    </w:p>
    <w:p>
      <w:pPr>
        <w:pStyle w:val="ListParagraph"/>
        <w:numPr>
          <w:ilvl w:val="0"/>
          <w:numId w:val="2"/>
        </w:numPr>
        <w:spacing w:after="60"/>
      </w:pPr>
      <w:r>
        <w:rPr>
          <w:rFonts w:ascii="Arial" w:cs="Arial" w:eastAsia="Arial" w:hAnsi="Arial"/>
          <w:color w:val="1A1A1A"/>
          <w:sz w:val="19"/>
          <w:szCs w:val="19"/>
        </w:rPr>
        <w:t xml:space="preserve">Minimum overnight temperature recorded (not just Lockyer Valley average — your specific microclimate)</w:t>
      </w:r>
    </w:p>
    <w:p>
      <w:pPr>
        <w:pStyle w:val="ListParagraph"/>
        <w:numPr>
          <w:ilvl w:val="0"/>
          <w:numId w:val="2"/>
        </w:numPr>
        <w:spacing w:after="60"/>
      </w:pPr>
      <w:r>
        <w:rPr>
          <w:rFonts w:ascii="Arial" w:cs="Arial" w:eastAsia="Arial" w:hAnsi="Arial"/>
          <w:color w:val="1A1A1A"/>
          <w:sz w:val="19"/>
          <w:szCs w:val="19"/>
        </w:rPr>
        <w:t xml:space="preserve">Any council zoning or building restrictions already confirmed?</w:t>
      </w:r>
    </w:p>
    <w:p>
      <w:pPr>
        <w:spacing w:after="0" w:before="100"/>
      </w:pPr>
      <w:r>
        <w:t xml:space="preserve"/>
      </w:r>
    </w:p>
    <w:p>
      <w:pPr>
        <w:pBdr>
          <w:top w:val="single" w:color="E0E0E0" w:sz="4" w:space="1"/>
        </w:pBdr>
        <w:spacing w:after="0"/>
      </w:pPr>
      <w:r>
        <w:rPr>
          <w:rFonts w:ascii="Arial" w:cs="Arial" w:eastAsia="Arial" w:hAnsi="Arial"/>
          <w:i/>
          <w:iCs/>
          <w:color w:val="888888"/>
          <w:sz w:val="17"/>
          <w:szCs w:val="17"/>
        </w:rPr>
        <w:t xml:space="preserve">Context export generated April 2026 · BSFL Commercial Business Plan · Lockyer Valley QLD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2026-04-14T18:45:36.759Z</dcterms:created>
  <dcterms:modified xsi:type="dcterms:W3CDTF">2026-04-14T18:45:36.760Z</dcterms:modified>
</cp:coreProperties>
</file>

<file path=docProps/custom.xml><?xml version="1.0" encoding="utf-8"?>
<Properties xmlns="http://schemas.openxmlformats.org/officeDocument/2006/custom-properties" xmlns:vt="http://schemas.openxmlformats.org/officeDocument/2006/docPropsVTypes"/>
</file>