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3A5C"/>
          <w:sz w:val="52"/>
          <w:szCs w:val="52"/>
        </w:rPr>
        <w:t xml:space="preserve">BSFL Farm — Defence Engagement and Social Workforce Strategy</w:t>
      </w:r>
    </w:p>
    <w:p>
      <w:pPr>
        <w:spacing w:after="40"/>
      </w:pPr>
      <w:r>
        <w:rPr>
          <w:rFonts w:ascii="Arial" w:cs="Arial" w:eastAsia="Arial" w:hAnsi="Arial"/>
          <w:color w:val="666666"/>
          <w:sz w:val="22"/>
          <w:szCs w:val="22"/>
        </w:rPr>
        <w:t xml:space="preserve">658 Lefthand Branch Rd, Lockyer Valley QLD  |  April 2026</w:t>
      </w:r>
    </w:p>
    <w:p>
      <w:pPr>
        <w:pBdr>
          <w:bottom w:val="single" w:color="CCCCCC" w:sz="4" w:space="1"/>
        </w:pBdr>
        <w:spacing w:after="280"/>
      </w:pPr>
      <w:r>
        <w:rPr>
          <w:rFonts w:ascii="Arial" w:cs="Arial" w:eastAsia="Arial" w:hAnsi="Arial"/>
          <w:color w:val="888888"/>
          <w:sz w:val="20"/>
          <w:szCs w:val="20"/>
        </w:rPr>
        <w:t xml:space="preserve">Supplement to Speculative Opportunities document  |  Defence network advantage  |  Graduated workforce integration model</w:t>
      </w:r>
    </w:p>
    <w:p>
      <w:r>
        <w:t xml:space="preserve"/>
      </w:r>
    </w:p>
    <w:p>
      <w:pPr>
        <w:pStyle w:val="Heading2"/>
      </w:pPr>
      <w:r>
        <w:t xml:space="preserve">Context and revised probability weights</w:t>
      </w:r>
    </w:p>
    <w:p>
      <w:pPr>
        <w:spacing w:after="100"/>
      </w:pPr>
      <w:r>
        <w:rPr>
          <w:rFonts w:ascii="Arial" w:cs="Arial" w:eastAsia="Arial" w:hAnsi="Arial"/>
          <w:sz w:val="24"/>
          <w:szCs w:val="24"/>
        </w:rPr>
        <w:t xml:space="preserve">The original Speculative Opportunities document assessed the defence and government procurement opportunity at $184,500-$828,000 expected value over 10 years, based on a cold-contact assumption. That assessment assumed the primary barrier was access — getting in front of the right people in a procurement culture that is closed to outsiders.</w:t>
      </w:r>
    </w:p>
    <w:p>
      <w:pPr>
        <w:spacing w:after="100"/>
      </w:pPr>
      <w:r>
        <w:rPr>
          <w:rFonts w:ascii="Arial" w:cs="Arial" w:eastAsia="Arial" w:hAnsi="Arial"/>
          <w:sz w:val="24"/>
          <w:szCs w:val="24"/>
        </w:rPr>
        <w:t xml:space="preserve">The revised assessment applies to someone with a former Air Force background and active contacts on both the serving and industry sides of ADF procurement. The access barrier is largely removed. The remaining barriers are: identifying which specific problem your operation solves, finding the internal champion who is already working on that problem, and navigating the procurement pathway once the champion is identified. None of these are insurmountable and all of them are accelerated significantly by warm introductions.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600"/>
        <w:gridCol w:w="2026"/>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Cold-contact probability</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Revised probability (network advantage)</w:t>
            </w:r>
          </w:p>
        </w:tc>
        <w:tc>
          <w:tcPr>
            <w:tcW w:type="dxa" w:w="2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Expected value revision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 protocol licensing to emergency planners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+$7,000-28,000</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D1+D2 — supply shock triggers domestic protein program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+$43,750-175,000</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D3 — formal government food security contract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+$90,000-450,000</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services subcontract (revised — year 3-5, retender dependent)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Reduced from original. Mid-contract subcontracting not viable. Retender pathway preserved.</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Revised total expected value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$184,500-$828,000</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$239,500-$1,202,500</w:t>
            </w:r>
          </w:p>
        </w:tc>
        <w:tc>
          <w:tcPr>
            <w:tcW w:type="dxa" w:w="2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+$55,000-$374,500 (base services reduced, network advantage applies to DST and EM pathways)</w:t>
            </w:r>
          </w:p>
        </w:tc>
      </w:tr>
    </w:tbl>
    <w:p>
      <w:r>
        <w:t xml:space="preserve"/>
      </w:r>
    </w:p>
    <w:p>
      <w:r>
        <w:br w:type="page"/>
      </w:r>
    </w:p>
    <w:p>
      <w:pPr>
        <w:pStyle w:val="Heading1"/>
      </w:pPr>
      <w:r>
        <w:t xml:space="preserve">Part 1 — Defence and Government Procurement Strategy</w:t>
      </w:r>
    </w:p>
    <w:p>
      <w:r>
        <w:t xml:space="preserve"/>
      </w:r>
    </w:p>
    <w:p>
      <w:pPr>
        <w:pStyle w:val="Heading2"/>
      </w:pPr>
      <w:r>
        <w:t xml:space="preserve">1A — Understanding where the real problem sits</w:t>
      </w:r>
    </w:p>
    <w:p>
      <w:pPr>
        <w:spacing w:after="100"/>
      </w:pPr>
      <w:r>
        <w:rPr>
          <w:rFonts w:ascii="Arial" w:cs="Arial" w:eastAsia="Arial" w:hAnsi="Arial"/>
          <w:sz w:val="24"/>
          <w:szCs w:val="24"/>
        </w:rPr>
        <w:t xml:space="preserve">Before approaching any contact, it is worth being precise about which problem you are solving. The ADF has several distinct food-related challenges and BSFL bioconversion is relevant to some but not all of them. Pitching to the wrong problem owner is the most common reason good ideas get lost in defence procurement.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Who owns it</w:t>
            </w:r>
          </w:p>
        </w:tc>
        <w:tc>
          <w:tcPr>
            <w:tcW w:type="dxa" w:w="3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BSFL relevance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Forward operating base food security — producing protein in remote or austere environments without supply chain dependence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Army Engineering, Joint Logistics Command, DST Group Food and Nutrition program</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BSFL can operate on virtually any organic waste stream, in a controlled environment, with minimal footprint. This is precisely the problem that has driven US and European military insect protein research.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Disaster response food security — feeding displaced populations during natural disasters when supply chains are disrupted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Emergency Management Australia, State Emergency Services, Australian Civil-Military Centre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A portable, documented BSFL protocol that can be operated by non-specialists in a temporary structure is a genuine capability gap in current Australian disaster response planning.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Waste management on bases and in deployed environments — organic waste disposal is a significant logistical burden in deployed operations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Defence Base Services, Garrison Support, Joint Logistics Command</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BSFL bioconversion converts organic waste to protein and frass, eliminating the waste problem while producing a useful output. The waste management angle may be an easier procurement entry point than the protein production angle.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Aquaculture feed for ADF-operated fisheries programs — several remote ADF facilities run aquaculture programs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Navy, regional base commanders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Dried BSFL as a domestic fish meal substitute for ADF-operated aquaculture is a specific and tractable procurement problem with an existing budget line.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ration supply — feeding personnel on 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Defence Catering Group, CASG (Capability Acquisition and Sustainment Group)</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currently. Human consumption approval is not yet in place. Not a near-term opportunity.</w:t>
            </w:r>
          </w:p>
        </w:tc>
      </w:tr>
    </w:tbl>
    <w:p>
      <w:r>
        <w:t xml:space="preserve"/>
      </w:r>
    </w:p>
    <w:p>
      <w:pPr>
        <w:pBdr>
          <w:left w:val="single" w:color="1565C0" w:sz="12"/>
        </w:pBdr>
        <w:spacing w:after="80" w:before="80"/>
        <w:ind w:left="360"/>
      </w:pPr>
      <w:r>
        <w:rPr>
          <w:rFonts w:ascii="Arial" w:cs="Arial" w:eastAsia="Arial" w:hAnsi="Arial"/>
          <w:color w:val="0D47A1"/>
          <w:sz w:val="22"/>
          <w:szCs w:val="22"/>
        </w:rPr>
        <w:t xml:space="preserve">NOTE: The forward operating base food security angle and the disaster response angle are the highest-relevance problems and the ones most likely to have an active internal champion in DST Group or Army Engineering. The waste management angle is lower-profile but may have a shorter procurement pathway because it is a service rather than a novel food product — it does not require TGA or FSANZ approval to procure waste processing services.</w:t>
      </w:r>
    </w:p>
    <w:p>
      <w:r>
        <w:t xml:space="preserve"/>
      </w:r>
    </w:p>
    <w:p>
      <w:pPr>
        <w:pStyle w:val="Heading2"/>
      </w:pPr>
      <w:r>
        <w:t xml:space="preserve">1B — The intelligence-gathering conversation</w:t>
      </w:r>
    </w:p>
    <w:p>
      <w:pPr>
        <w:spacing w:after="100"/>
      </w:pPr>
      <w:r>
        <w:rPr>
          <w:rFonts w:ascii="Arial" w:cs="Arial" w:eastAsia="Arial" w:hAnsi="Arial"/>
          <w:sz w:val="24"/>
          <w:szCs w:val="24"/>
        </w:rPr>
        <w:t xml:space="preserve">The first use of your defence contacts is not to pitch your operation. It is to gather intelligence about which problem is currently being actively worked on, who is working on it, and what stage the internal conversation has reached. This is standard defence industry practice and your contacts will understand the framing immediately.</w:t>
      </w:r>
    </w:p>
    <w:p>
      <w:r>
        <w:t xml:space="preserve"/>
      </w:r>
    </w:p>
    <w:p>
      <w:pPr>
        <w:pStyle w:val="Heading3"/>
      </w:pPr>
      <w:r>
        <w:t xml:space="preserve">The questions worth asking currently serving contacts</w:t>
      </w:r>
    </w:p>
    <w:p>
      <w:pPr>
        <w:pStyle w:val="ListParagraph"/>
        <w:numPr>
          <w:ilvl w:val="0"/>
          <w:numId w:val="2"/>
        </w:numPr>
      </w:pPr>
      <w:r>
        <w:rPr>
          <w:rFonts w:ascii="Arial" w:cs="Arial" w:eastAsia="Arial" w:hAnsi="Arial"/>
          <w:sz w:val="22"/>
          <w:szCs w:val="22"/>
        </w:rPr>
        <w:t xml:space="preserve">Is there currently an active program, working group, or research contract in DST Group or Joint Logistics Command looking at insect protein or alternative protein for forward operating bases or disaster response?</w:t>
      </w:r>
    </w:p>
    <w:p>
      <w:pPr>
        <w:pStyle w:val="ListParagraph"/>
        <w:numPr>
          <w:ilvl w:val="0"/>
          <w:numId w:val="2"/>
        </w:numPr>
      </w:pPr>
      <w:r>
        <w:rPr>
          <w:rFonts w:ascii="Arial" w:cs="Arial" w:eastAsia="Arial" w:hAnsi="Arial"/>
          <w:sz w:val="22"/>
          <w:szCs w:val="22"/>
        </w:rPr>
        <w:t xml:space="preserve">Has the ADF engaged with any domestic insect protein producers or researchers in the past 12-24 months?</w:t>
      </w:r>
    </w:p>
    <w:p>
      <w:pPr>
        <w:pStyle w:val="ListParagraph"/>
        <w:numPr>
          <w:ilvl w:val="0"/>
          <w:numId w:val="2"/>
        </w:numPr>
      </w:pPr>
      <w:r>
        <w:rPr>
          <w:rFonts w:ascii="Arial" w:cs="Arial" w:eastAsia="Arial" w:hAnsi="Arial"/>
          <w:sz w:val="22"/>
          <w:szCs w:val="22"/>
        </w:rPr>
        <w:t xml:space="preserve">What is the current process for a small agricultural producer to engage with a relevant research or procurement team — is there a Small Business Engagement program, an innovation portal, or a preferred introduction pathway?</w:t>
      </w:r>
    </w:p>
    <w:p>
      <w:pPr>
        <w:pStyle w:val="ListParagraph"/>
        <w:numPr>
          <w:ilvl w:val="0"/>
          <w:numId w:val="2"/>
        </w:numPr>
      </w:pPr>
      <w:r>
        <w:rPr>
          <w:rFonts w:ascii="Arial" w:cs="Arial" w:eastAsia="Arial" w:hAnsi="Arial"/>
          <w:sz w:val="22"/>
          <w:szCs w:val="22"/>
        </w:rPr>
        <w:t xml:space="preserve">Is the primary driver currently operational (a felt capability gap) or research-driven (an exploratory program)? The answer changes who the right first contact is.</w:t>
      </w:r>
    </w:p>
    <w:p>
      <w:r>
        <w:t xml:space="preserve"/>
      </w:r>
    </w:p>
    <w:p>
      <w:pPr>
        <w:pStyle w:val="Heading3"/>
      </w:pPr>
      <w:r>
        <w:t xml:space="preserve">The questions worth asking industry-side contacts</w:t>
      </w:r>
    </w:p>
    <w:p>
      <w:pPr>
        <w:pStyle w:val="ListParagraph"/>
        <w:numPr>
          <w:ilvl w:val="0"/>
          <w:numId w:val="2"/>
        </w:numPr>
      </w:pPr>
      <w:r>
        <w:rPr>
          <w:rFonts w:ascii="Arial" w:cs="Arial" w:eastAsia="Arial" w:hAnsi="Arial"/>
          <w:sz w:val="22"/>
          <w:szCs w:val="22"/>
        </w:rPr>
        <w:t xml:space="preserve">Which prime contractors are currently active in ADF food security, base services, or logistics? The most likely pathway to a government contract at small operator scale is as a domestic supplier to a prime, not as a direct government vendor.</w:t>
      </w:r>
    </w:p>
    <w:p>
      <w:pPr>
        <w:pStyle w:val="ListParagraph"/>
        <w:numPr>
          <w:ilvl w:val="0"/>
          <w:numId w:val="2"/>
        </w:numPr>
      </w:pPr>
      <w:r>
        <w:rPr>
          <w:rFonts w:ascii="Arial" w:cs="Arial" w:eastAsia="Arial" w:hAnsi="Arial"/>
          <w:sz w:val="22"/>
          <w:szCs w:val="22"/>
        </w:rPr>
        <w:t xml:space="preserve">Is there an active tender or upcoming opportunity in base services, organic waste management, or food security that a BSFL producer could participate in as a subcontractor or supplier?</w:t>
      </w:r>
    </w:p>
    <w:p>
      <w:pPr>
        <w:pStyle w:val="ListParagraph"/>
        <w:numPr>
          <w:ilvl w:val="0"/>
          <w:numId w:val="2"/>
        </w:numPr>
      </w:pPr>
      <w:r>
        <w:rPr>
          <w:rFonts w:ascii="Arial" w:cs="Arial" w:eastAsia="Arial" w:hAnsi="Arial"/>
          <w:sz w:val="22"/>
          <w:szCs w:val="22"/>
        </w:rPr>
        <w:t xml:space="preserve">What certifications, compliance documents, or insurance levels would be required to qualify as a supplier to a defence prime in a food or waste management context?</w:t>
      </w:r>
    </w:p>
    <w:p>
      <w:r>
        <w:t xml:space="preserve"/>
      </w:r>
    </w:p>
    <w:p>
      <w:pPr>
        <w:pBdr>
          <w:left w:val="single" w:color="E8A000" w:sz="12"/>
        </w:pBdr>
        <w:spacing w:after="80" w:before="80"/>
        <w:ind w:left="360"/>
      </w:pPr>
      <w:r>
        <w:rPr>
          <w:rFonts w:ascii="Arial" w:cs="Arial" w:eastAsia="Arial" w:hAnsi="Arial"/>
          <w:color w:val="7A4500"/>
          <w:sz w:val="22"/>
          <w:szCs w:val="22"/>
        </w:rPr>
        <w:t xml:space="preserve">CAUTION: Do not pitch the full vision in intelligence-gathering conversations. The purpose is to understand the landscape, not to sell. A premature pitch before you know who the right person is and what problem they are trying to solve creates an impression of a founder looking for a buyer rather than a producer solving a real problem. Reserve the pitch for when the intelligence tells you exactly who to talk to and what they need.</w:t>
      </w:r>
    </w:p>
    <w:p>
      <w:r>
        <w:t xml:space="preserve"/>
      </w:r>
    </w:p>
    <w:p>
      <w:pPr>
        <w:pStyle w:val="Heading2"/>
      </w:pPr>
      <w:r>
        <w:t xml:space="preserve">1C — The three realistic pathways to ADF revenue</w:t>
      </w:r>
    </w:p>
    <w:p>
      <w:r>
        <w:t xml:space="preserve"/>
      </w:r>
    </w:p>
    <w:p>
      <w:pPr>
        <w:pStyle w:val="Heading3"/>
      </w:pPr>
      <w:r>
        <w:t xml:space="preserve">Pathway 1 — Research collaboration with DST Group</w:t>
      </w:r>
    </w:p>
    <w:p>
      <w:pPr>
        <w:spacing w:after="100"/>
      </w:pPr>
      <w:r>
        <w:rPr>
          <w:rFonts w:ascii="Arial" w:cs="Arial" w:eastAsia="Arial" w:hAnsi="Arial"/>
          <w:sz w:val="24"/>
          <w:szCs w:val="24"/>
        </w:rPr>
        <w:t xml:space="preserve">DST Group (Defence Science and Technology) regularly funds small research collaborations with industry partners through the Defence Innovation Hub and the Next Generation Technologies Fund. A collaboration grant for validating BSFL bioconversion for forward operating base food security would be worth $50,000-500,000 and would generate the independently validated data that makes your protocol credible to international military buyers as well as domestic commercial licensees.</w:t>
      </w:r>
    </w:p>
    <w:p>
      <w:pPr>
        <w:spacing w:after="100"/>
      </w:pPr>
      <w:r>
        <w:rPr>
          <w:rFonts w:ascii="Arial" w:cs="Arial" w:eastAsia="Arial" w:hAnsi="Arial"/>
          <w:sz w:val="24"/>
          <w:szCs w:val="24"/>
        </w:rPr>
        <w:t xml:space="preserve">The entry point is a Defence Innovation Hub Expression of Interest. These are assessed on: relevance to a defence capability need (high for food security), maturity of the technology (moderate — your operation will have 6-12 months of yield data by the time an application is ready), and the capability of the applicant. Your biological sciences and management background combined with a former Air Force connection is a stronger application profile than most small agtech operators can present.</w:t>
      </w:r>
    </w:p>
    <w:p>
      <w:pPr>
        <w:pBdr>
          <w:left w:val="single" w:color="2E7D32" w:sz="12"/>
        </w:pBdr>
        <w:spacing w:after="80" w:before="80"/>
        <w:ind w:left="360"/>
      </w:pPr>
      <w:r>
        <w:rPr>
          <w:rFonts w:ascii="Arial" w:cs="Arial" w:eastAsia="Arial" w:hAnsi="Arial"/>
          <w:color w:val="1B5E20"/>
          <w:sz w:val="22"/>
          <w:szCs w:val="22"/>
        </w:rPr>
        <w:t xml:space="preserve">ACTION: Check the Defence Innovation Hub portal at business.defence.gov.au/innovation for currently open challenge rounds. Rounds are published irregularly. Subscribe to notifications. When a food security, logistics, or sustainability challenge opens, your operation is one of the few domestic producers with the documentation infrastructure to submit a credible response.</w:t>
      </w:r>
    </w:p>
    <w:p>
      <w:r>
        <w:t xml:space="preserve"/>
      </w:r>
    </w:p>
    <w:p>
      <w:pPr>
        <w:pStyle w:val="Heading3"/>
      </w:pPr>
      <w:r>
        <w:t xml:space="preserve">Pathway 2 — Base services prime subcontract (year 3-5, not near-term)</w:t>
      </w:r>
    </w:p>
    <w:p>
      <w:pPr>
        <w:spacing w:after="100"/>
      </w:pPr>
      <w:r>
        <w:rPr>
          <w:rFonts w:ascii="Arial" w:cs="Arial" w:eastAsia="Arial" w:hAnsi="Arial"/>
          <w:sz w:val="24"/>
          <w:szCs w:val="24"/>
        </w:rPr>
        <w:t xml:space="preserve">ADF bases generate significant volumes of organic waste from catering operations. However base services contracts — typically held by primes including Broadspectrum, Sodexo, and Spotless — cover the entire waste stream from a base under a single integrated contract. The prime removes waste in their own vehicles to their own processing facilities. They are not going to subcontract a portion of their organic waste stream to a small external processor mid-contract. It creates contract management complexity, potential liability issues, and renegotiation risk with Defence Base Services. They also have no incentive to — their performance is measured on waste removal, not on what happens to it afterwards.</w:t>
      </w:r>
    </w:p>
    <w:p>
      <w:pPr>
        <w:spacing w:after="100"/>
      </w:pPr>
      <w:r>
        <w:rPr>
          <w:rFonts w:ascii="Arial" w:cs="Arial" w:eastAsia="Arial" w:hAnsi="Arial"/>
          <w:sz w:val="24"/>
          <w:szCs w:val="24"/>
        </w:rPr>
        <w:t xml:space="preserve">This means the base services subcontract pathway is effectively closed until one of two things happens: the current contract lapses and is retendered, or Defence changes its approach to organic waste diversion under D3 conditions. Defence Base Services contracts typically run 5-7 years. The Broadspectrum Amberley contract was retendered around 2021-22, placing the next retender approximately 2026-2029. That window is within the 10-year horizon but requires you to be a known entity to the relevant prime well before tender closes.</w:t>
      </w:r>
    </w:p>
    <w:p>
      <w:pPr>
        <w:spacing w:after="100"/>
      </w:pPr>
      <w:r>
        <w:rPr>
          <w:rFonts w:ascii="Arial" w:cs="Arial" w:eastAsia="Arial" w:hAnsi="Arial"/>
          <w:sz w:val="24"/>
          <w:szCs w:val="24"/>
        </w:rPr>
        <w:t xml:space="preserve">The correct near-term action is not to approach base operations but to build a relationship with the prime's sustainability and business development team from year 2 onward. When the retender opens, you want to be a documented, operating BSFL producer that the prime has already had a conversation with — not a cold contact responding to a tender notice.</w:t>
      </w:r>
    </w:p>
    <w:p>
      <w:pPr>
        <w:pBdr>
          <w:left w:val="single" w:color="E8A000" w:sz="12"/>
        </w:pBdr>
        <w:spacing w:after="80" w:before="80"/>
        <w:ind w:left="360"/>
      </w:pPr>
      <w:r>
        <w:rPr>
          <w:rFonts w:ascii="Arial" w:cs="Arial" w:eastAsia="Arial" w:hAnsi="Arial"/>
          <w:color w:val="7A4500"/>
          <w:sz w:val="22"/>
          <w:szCs w:val="22"/>
        </w:rPr>
        <w:t xml:space="preserve">CAUTION: Do not approach Broadspectrum or other base services primes about mid-contract organic waste subcontracting. It will not succeed and may create a negative impression with a party you need on side for the retender. The timing and pathway matter as much as the opportunity itself.</w:t>
      </w:r>
    </w:p>
    <w:p>
      <w:pPr>
        <w:pBdr>
          <w:left w:val="single" w:color="2E7D32" w:sz="12"/>
        </w:pBdr>
        <w:spacing w:after="80" w:before="80"/>
        <w:ind w:left="360"/>
      </w:pPr>
      <w:r>
        <w:rPr>
          <w:rFonts w:ascii="Arial" w:cs="Arial" w:eastAsia="Arial" w:hAnsi="Arial"/>
          <w:color w:val="1B5E20"/>
          <w:sz w:val="22"/>
          <w:szCs w:val="22"/>
        </w:rPr>
        <w:t xml:space="preserve">ACTION: Ask your industry-side contacts for the expected retender timeline on the Amberley and Oakey base services contracts. If a retender is 2-3 years away, begin building the Broadspectrum sustainability team relationship now. If it is 5+ years away, defer until year 3 and focus entirely on DST Group and emergency management pathways in the interim.</w:t>
      </w:r>
    </w:p>
    <w:p>
      <w:r>
        <w:t xml:space="preserve"/>
      </w:r>
    </w:p>
    <w:p>
      <w:pPr>
        <w:pStyle w:val="Heading3"/>
      </w:pPr>
      <w:r>
        <w:t xml:space="preserve">Pathway 3 — Emergency management protocol licensing</w:t>
      </w:r>
    </w:p>
    <w:p>
      <w:pPr>
        <w:spacing w:after="100"/>
      </w:pPr>
      <w:r>
        <w:rPr>
          <w:rFonts w:ascii="Arial" w:cs="Arial" w:eastAsia="Arial" w:hAnsi="Arial"/>
          <w:sz w:val="24"/>
          <w:szCs w:val="24"/>
        </w:rPr>
        <w:t xml:space="preserve">This is the pathway with the shortest timeline under normal conditions and the highest upside under doomer conditions. Emergency Management Australia, the Queensland Disaster Management Arrangements, and local government emergency planning teams are actively developing food security protocols for disaster response. A documented, portable BSFL bioconversion protocol that can be operated in a temporary structure by non-specialists using local waste streams is a genuine capability addition to disaster response planning.</w:t>
      </w:r>
    </w:p>
    <w:p>
      <w:pPr>
        <w:spacing w:after="100"/>
      </w:pPr>
      <w:r>
        <w:rPr>
          <w:rFonts w:ascii="Arial" w:cs="Arial" w:eastAsia="Arial" w:hAnsi="Arial"/>
          <w:sz w:val="24"/>
          <w:szCs w:val="24"/>
        </w:rPr>
        <w:t xml:space="preserve">The commercial model is a protocol license — you provide the documented operating procedure, initial training, a starter colony, and ongoing technical support. The emergency management authority pays a license fee and an annual support retainer. The protocol is deployed as a pre-positioned capability at strategic locations — regional emergency management facilities, major evacuation centres, or remote community resource hubs.</w:t>
      </w:r>
    </w:p>
    <w:p>
      <w:pPr>
        <w:spacing w:after="100"/>
      </w:pPr>
      <w:r>
        <w:rPr>
          <w:rFonts w:ascii="Arial" w:cs="Arial" w:eastAsia="Arial" w:hAnsi="Arial"/>
          <w:sz w:val="24"/>
          <w:szCs w:val="24"/>
        </w:rPr>
        <w:t xml:space="preserve">This is where the corrective services and rehabilitation program workforce model (Part 2 of this document) intersects with the defence and emergency management angle in an interesting way. A BSFL protocol operated by trained community service workers at an emergency management facility creates a dual-purpose asset: normal-conditions vocational training, disaster-conditions food production. This combination is significantly more grant-fundable than either component alone.</w:t>
      </w:r>
    </w:p>
    <w:p>
      <w:r>
        <w:t xml:space="preserve"/>
      </w:r>
    </w:p>
    <w:p>
      <w:pPr>
        <w:pStyle w:val="Heading2"/>
      </w:pPr>
      <w:r>
        <w:t xml:space="preserve">1D — Revised expected value with network advantage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2226"/>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Pathway</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Normal 10yr value</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Doomer 10yr value</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Revised probability</w:t>
            </w:r>
          </w:p>
        </w:tc>
        <w:tc>
          <w:tcPr>
            <w:tcW w:type="dxa" w:w="2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Expected value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DST Group research collaboration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$50,000-500,000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$100,000-1,000,000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 (network access)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$52,500-542,500</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services prime subcontract — Amberley or Oakey (year 3-5, retender dependent)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$20,000-60,000/yr from yr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$40,000-100,000/yr from yr 3 if D3 accelerates retender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 (retender timing uncertain, relationship must be built first)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$35,000-100,000 over 10yr</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Emergency management protocol licensing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$20,000-100,000/yr from yr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$80,000-400,000/yr under D3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 normal + 25% D3 uplift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$112,000-560,000 over 10yr</w:t>
            </w:r>
          </w:p>
        </w:tc>
      </w:tr>
      <w:tr>
        <w:trPr>
          <w:tblHeader w:val="false"/>
        </w:trP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revised expected value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$239,500-$1,202,500</w:t>
            </w:r>
          </w:p>
        </w:tc>
      </w:tr>
    </w:tbl>
    <w:p>
      <w:r>
        <w:t xml:space="preserve"/>
      </w:r>
    </w:p>
    <w:p>
      <w:r>
        <w:br w:type="page"/>
      </w:r>
    </w:p>
    <w:p>
      <w:pPr>
        <w:pStyle w:val="Heading1"/>
      </w:pPr>
      <w:r>
        <w:t xml:space="preserve">Part 2 — Social Workforce Integration Strategy</w:t>
      </w:r>
    </w:p>
    <w:p>
      <w:r>
        <w:t xml:space="preserve"/>
      </w:r>
    </w:p>
    <w:p>
      <w:pPr>
        <w:pStyle w:val="Heading2"/>
      </w:pPr>
      <w:r>
        <w:t xml:space="preserve">2A — The graduated integration model</w:t>
      </w:r>
    </w:p>
    <w:p>
      <w:pPr>
        <w:spacing w:after="100"/>
      </w:pPr>
      <w:r>
        <w:rPr>
          <w:rFonts w:ascii="Arial" w:cs="Arial" w:eastAsia="Arial" w:hAnsi="Arial"/>
          <w:sz w:val="24"/>
          <w:szCs w:val="24"/>
        </w:rPr>
        <w:t xml:space="preserve">The model designed here sits between two extremes: an informal ad-hoc arrangement (insufficient structure to access wage subsidies or grants) and a full social enterprise with dedicated case management staff (too complex for Stage 1). The graduated integration model is a formal but lightweight partnership with a single referral organisation, structured around clear role tiers and documented progression criteria.</w:t>
      </w:r>
    </w:p>
    <w:p>
      <w:r>
        <w:t xml:space="preserve"/>
      </w:r>
    </w:p>
    <w:p>
      <w:pPr>
        <w:pStyle w:val="Heading3"/>
      </w:pPr>
      <w:r>
        <w:t xml:space="preserve">The workforce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3426"/>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 description</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Eligibility</w:t>
            </w:r>
          </w:p>
        </w:tc>
        <w:tc>
          <w:tcPr>
            <w:tcW w:type="dxa" w:w="3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Documentation</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Substrate preparation, receiving bay inspection, packaging, basic daily checks under supervision. No technical decision-making required.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Disadvantaged or marginalised workers referred by partner organisation. No experience required.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attendance record. Task completion log. Batch tracking entries attributed to worker.</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Independent daily rounds, harvest collection, frass processing, IBC cleaning and reload. Makes operational decisions within defined parameters.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Entry tier completed with satisfactory performance over minimum 8 weeks. Demonstrated reliable attendance.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 records signed off independently. Performance review at 8 weeks. Progression record in worker file.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Skilled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Colony management, substrate moisture assessment, quality control decisions, training entry-tier workers. Operates independently on all systems.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Developing tier completed over minimum 16 weeks. Demonstrated technical judgement.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batch records. Quality release sign-off capability. Potential employment reference for external opportunities.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Commercial hire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employment alongside social workforce. Hired for technical competence. Works across all tiers.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commercial recruitment.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employment records.</w:t>
            </w:r>
          </w:p>
        </w:tc>
      </w:tr>
    </w:tbl>
    <w:p>
      <w:r>
        <w:t xml:space="preserve"/>
      </w:r>
    </w:p>
    <w:p>
      <w:pPr>
        <w:pBdr>
          <w:left w:val="single" w:color="1565C0" w:sz="12"/>
        </w:pBdr>
        <w:spacing w:after="80" w:before="80"/>
        <w:ind w:left="360"/>
      </w:pPr>
      <w:r>
        <w:rPr>
          <w:rFonts w:ascii="Arial" w:cs="Arial" w:eastAsia="Arial" w:hAnsi="Arial"/>
          <w:color w:val="0D47A1"/>
          <w:sz w:val="22"/>
          <w:szCs w:val="22"/>
        </w:rPr>
        <w:t xml:space="preserve">NOTE: The tier structure serves three purposes simultaneously: it gives workers a clear progression pathway with observable milestones, it gives you a documented competency record that protects you if a worker performs poorly or leaves suddenly, and it gives the referral organisation the evidence they need to report program outcomes to their own funders.</w:t>
      </w:r>
    </w:p>
    <w:p>
      <w:r>
        <w:t xml:space="preserve"/>
      </w:r>
    </w:p>
    <w:p>
      <w:pPr>
        <w:pStyle w:val="Heading2"/>
      </w:pPr>
      <w:r>
        <w:t xml:space="preserve">2B — Selecting the referral organisation</w:t>
      </w:r>
    </w:p>
    <w:p>
      <w:pPr>
        <w:spacing w:after="100"/>
      </w:pPr>
      <w:r>
        <w:rPr>
          <w:rFonts w:ascii="Arial" w:cs="Arial" w:eastAsia="Arial" w:hAnsi="Arial"/>
          <w:sz w:val="24"/>
          <w:szCs w:val="24"/>
        </w:rPr>
        <w:t xml:space="preserve">The referral organisation is the keystone of the model. They handle case management, welfare support, transport barriers, and the social complexity that would otherwise land on you. You handle the work environment, the technical training, and the commercial operation. The division of labour is clean and each party does what they are best at.</w:t>
      </w:r>
    </w:p>
    <w:p>
      <w:r>
        <w:t xml:space="preserve"/>
      </w:r>
    </w:p>
    <w:p>
      <w:pPr>
        <w:pStyle w:val="Heading3"/>
      </w:pPr>
      <w:r>
        <w:t xml:space="preserve">Criteria for a good referral partner</w:t>
      </w:r>
    </w:p>
    <w:p>
      <w:pPr>
        <w:pStyle w:val="ListParagraph"/>
        <w:numPr>
          <w:ilvl w:val="0"/>
          <w:numId w:val="2"/>
        </w:numPr>
      </w:pPr>
      <w:r>
        <w:rPr>
          <w:rFonts w:ascii="Arial" w:cs="Arial" w:eastAsia="Arial" w:hAnsi="Arial"/>
          <w:sz w:val="22"/>
          <w:szCs w:val="22"/>
        </w:rPr>
        <w:t xml:space="preserve">Located in the Lockyer Valley or Toowoomba corridor — transport to a remote farm is already a barrier for disadvantaged workers and the partner needs to be able to support this</w:t>
      </w:r>
    </w:p>
    <w:p>
      <w:pPr>
        <w:pStyle w:val="ListParagraph"/>
        <w:numPr>
          <w:ilvl w:val="0"/>
          <w:numId w:val="2"/>
        </w:numPr>
      </w:pPr>
      <w:r>
        <w:rPr>
          <w:rFonts w:ascii="Arial" w:cs="Arial" w:eastAsia="Arial" w:hAnsi="Arial"/>
          <w:sz w:val="22"/>
          <w:szCs w:val="22"/>
        </w:rPr>
        <w:t xml:space="preserve">Already running employment programs — not a welfare organisation that has never placed workers in agricultural settings</w:t>
      </w:r>
    </w:p>
    <w:p>
      <w:pPr>
        <w:pStyle w:val="ListParagraph"/>
        <w:numPr>
          <w:ilvl w:val="0"/>
          <w:numId w:val="2"/>
        </w:numPr>
      </w:pPr>
      <w:r>
        <w:rPr>
          <w:rFonts w:ascii="Arial" w:cs="Arial" w:eastAsia="Arial" w:hAnsi="Arial"/>
          <w:sz w:val="22"/>
          <w:szCs w:val="22"/>
        </w:rPr>
        <w:t xml:space="preserve">Funded independently — their fees and case management costs should not fall on you in Phase 1</w:t>
      </w:r>
    </w:p>
    <w:p>
      <w:pPr>
        <w:pStyle w:val="ListParagraph"/>
        <w:numPr>
          <w:ilvl w:val="0"/>
          <w:numId w:val="2"/>
        </w:numPr>
      </w:pPr>
      <w:r>
        <w:rPr>
          <w:rFonts w:ascii="Arial" w:cs="Arial" w:eastAsia="Arial" w:hAnsi="Arial"/>
          <w:sz w:val="22"/>
          <w:szCs w:val="22"/>
        </w:rPr>
        <w:t xml:space="preserve">Willing to provide a dedicated coordinator who is the single point of contact for any workforce issues — you do not manage welfare cases directly</w:t>
      </w:r>
    </w:p>
    <w:p>
      <w:pPr>
        <w:pStyle w:val="ListParagraph"/>
        <w:numPr>
          <w:ilvl w:val="0"/>
          <w:numId w:val="2"/>
        </w:numPr>
      </w:pPr>
      <w:r>
        <w:rPr>
          <w:rFonts w:ascii="Arial" w:cs="Arial" w:eastAsia="Arial" w:hAnsi="Arial"/>
          <w:sz w:val="22"/>
          <w:szCs w:val="22"/>
        </w:rPr>
        <w:t xml:space="preserve">Track record of honest communication about worker readiness — a partner who places unsuitable workers to meet their own placement targets is worse than no partner</w:t>
      </w:r>
    </w:p>
    <w:p>
      <w:r>
        <w:t xml:space="preserve"/>
      </w:r>
    </w:p>
    <w:p>
      <w:pPr>
        <w:pStyle w:val="Heading3"/>
      </w:pPr>
      <w:r>
        <w:t xml:space="preserve">Likely candidates in the Lockyer Valley and Toowoomba area</w:t>
      </w:r>
    </w:p>
    <w:p>
      <w:pPr>
        <w:pStyle w:val="ListParagraph"/>
        <w:numPr>
          <w:ilvl w:val="0"/>
          <w:numId w:val="2"/>
        </w:numPr>
      </w:pPr>
      <w:r>
        <w:rPr>
          <w:rFonts w:ascii="Arial" w:cs="Arial" w:eastAsia="Arial" w:hAnsi="Arial"/>
          <w:sz w:val="22"/>
          <w:szCs w:val="22"/>
        </w:rPr>
        <w:t xml:space="preserve">Toowoomba-based Mission Australia employment services — active in the Darling Downs and Lockyer Valley</w:t>
      </w:r>
    </w:p>
    <w:p>
      <w:pPr>
        <w:pStyle w:val="ListParagraph"/>
        <w:numPr>
          <w:ilvl w:val="0"/>
          <w:numId w:val="2"/>
        </w:numPr>
      </w:pPr>
      <w:r>
        <w:rPr>
          <w:rFonts w:ascii="Arial" w:cs="Arial" w:eastAsia="Arial" w:hAnsi="Arial"/>
          <w:sz w:val="22"/>
          <w:szCs w:val="22"/>
        </w:rPr>
        <w:t xml:space="preserve">BUSY At Work — Queensland employment services provider with agricultural placement experience</w:t>
      </w:r>
    </w:p>
    <w:p>
      <w:pPr>
        <w:pStyle w:val="ListParagraph"/>
        <w:numPr>
          <w:ilvl w:val="0"/>
          <w:numId w:val="2"/>
        </w:numPr>
      </w:pPr>
      <w:r>
        <w:rPr>
          <w:rFonts w:ascii="Arial" w:cs="Arial" w:eastAsia="Arial" w:hAnsi="Arial"/>
          <w:sz w:val="22"/>
          <w:szCs w:val="22"/>
        </w:rPr>
        <w:t xml:space="preserve">MAX Employment — national provider with Toowoomba presence</w:t>
      </w:r>
    </w:p>
    <w:p>
      <w:pPr>
        <w:pStyle w:val="ListParagraph"/>
        <w:numPr>
          <w:ilvl w:val="0"/>
          <w:numId w:val="2"/>
        </w:numPr>
      </w:pPr>
      <w:r>
        <w:rPr>
          <w:rFonts w:ascii="Arial" w:cs="Arial" w:eastAsia="Arial" w:hAnsi="Arial"/>
          <w:sz w:val="22"/>
          <w:szCs w:val="22"/>
        </w:rPr>
        <w:t xml:space="preserve">Lifeline Darling Downs — may have connections to employment pathways for people experiencing homelessness</w:t>
      </w:r>
    </w:p>
    <w:p>
      <w:pPr>
        <w:pStyle w:val="ListParagraph"/>
        <w:numPr>
          <w:ilvl w:val="0"/>
          <w:numId w:val="2"/>
        </w:numPr>
      </w:pPr>
      <w:r>
        <w:rPr>
          <w:rFonts w:ascii="Arial" w:cs="Arial" w:eastAsia="Arial" w:hAnsi="Arial"/>
          <w:sz w:val="22"/>
          <w:szCs w:val="22"/>
        </w:rPr>
        <w:t xml:space="preserve">Toowoomba Regional Council social services network — can refer to appropriate employment services</w:t>
      </w:r>
    </w:p>
    <w:p>
      <w:r>
        <w:t xml:space="preserve"/>
      </w:r>
    </w:p>
    <w:p>
      <w:pPr>
        <w:pBdr>
          <w:left w:val="single" w:color="2E7D32" w:sz="12"/>
        </w:pBdr>
        <w:spacing w:after="80" w:before="80"/>
        <w:ind w:left="360"/>
      </w:pPr>
      <w:r>
        <w:rPr>
          <w:rFonts w:ascii="Arial" w:cs="Arial" w:eastAsia="Arial" w:hAnsi="Arial"/>
          <w:color w:val="1B5E20"/>
          <w:sz w:val="22"/>
          <w:szCs w:val="22"/>
        </w:rPr>
        <w:t xml:space="preserve">ACTION: Before contacting any organisation, define your offer precisely: what you provide (paid work, structured training, documented progression, a genuine vocational credential), what you need (reliable workers with transport, 2-3 days per week minimum, a case manager who is contactable), and what you cannot provide (welfare support, mental health services, accommodation, transport). Clarity about the boundary is the most important thing you can offer a potential referral partner.</w:t>
      </w:r>
    </w:p>
    <w:p>
      <w:r>
        <w:t xml:space="preserve"/>
      </w:r>
    </w:p>
    <w:p>
      <w:pPr>
        <w:pStyle w:val="Heading2"/>
      </w:pPr>
      <w:r>
        <w:t xml:space="preserve">2C — The wage subsidy and grant landscape</w:t>
      </w:r>
    </w:p>
    <w:p>
      <w:pPr>
        <w:spacing w:after="100"/>
      </w:pPr>
      <w:r>
        <w:rPr>
          <w:rFonts w:ascii="Arial" w:cs="Arial" w:eastAsia="Arial" w:hAnsi="Arial"/>
          <w:sz w:val="24"/>
          <w:szCs w:val="24"/>
        </w:rPr>
        <w:t xml:space="preserve">A formal partnership with a registered employment services provider unlocks several financial mechanisms that significantly reduce the net labour cost in the early months.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Program</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How to access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Wage Subsidy — Australian Government (Workforce Australia)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 to $10,000 per eligible worker over 6 months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Through a registered employment services provider. Worker must be eligible (long-term unemployed, disadvantaged). Provider submits the claim. You receive the subsidy as a reimbursement against wages paid.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Restart Wage Subsidy — for workers 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 to $10,000 per eligible worker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pathway as above. Relevant if your workforce includes older workers experiencing long-term unemployment.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Indigenous Wage Subsidy — for Aboriginal and Torres Strait Islander workers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 to $6,825 per eligible worker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Through Workforce Australia or a Community Development Programme provider. Relevant if you employ First Nations workers in the Lockyer Valley area.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Queensland Government Back to Work — regional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 to $15,000 per eligible worker in eligible regions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 application to Queensland Department of Employment. Lockyer Valley qualifies as a regional area. Strong fit for first 2-3 workers hired under this model.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Social Enterprise Development and Investment Fund (SEDIF)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Loans and grants for social enterprises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Requires social enterprise registration or certification. Not immediately accessible but worth pursuing from year 2 if the workforce program is formalised.</w:t>
            </w:r>
          </w:p>
        </w:tc>
      </w:tr>
    </w:tbl>
    <w:p>
      <w:r>
        <w:t xml:space="preserve"/>
      </w:r>
    </w:p>
    <w:p>
      <w:pPr>
        <w:pBdr>
          <w:left w:val="single" w:color="E8A000" w:sz="12"/>
        </w:pBdr>
        <w:spacing w:after="80" w:before="80"/>
        <w:ind w:left="360"/>
      </w:pPr>
      <w:r>
        <w:rPr>
          <w:rFonts w:ascii="Arial" w:cs="Arial" w:eastAsia="Arial" w:hAnsi="Arial"/>
          <w:color w:val="7A4500"/>
          <w:sz w:val="22"/>
          <w:szCs w:val="22"/>
        </w:rPr>
        <w:t xml:space="preserve">CAUTION: Wage subsidies are reimbursed after wages are paid — they are not advance funding. In Phase 1 with a thin cash buffer, this means you need to be able to pay the wage before receiving the subsidy. Structure your first social workforce hire to coincide with revenue being established, not before. Month 3-4 is the earliest realistic timing.</w:t>
      </w:r>
    </w:p>
    <w:p>
      <w:r>
        <w:t xml:space="preserve"/>
      </w:r>
    </w:p>
    <w:p>
      <w:pPr>
        <w:pStyle w:val="Heading2"/>
      </w:pPr>
      <w:r>
        <w:t xml:space="preserve">2D — The documentation that makes the program grant-fundable</w:t>
      </w:r>
    </w:p>
    <w:p>
      <w:pPr>
        <w:spacing w:after="100"/>
      </w:pPr>
      <w:r>
        <w:rPr>
          <w:rFonts w:ascii="Arial" w:cs="Arial" w:eastAsia="Arial" w:hAnsi="Arial"/>
          <w:sz w:val="24"/>
          <w:szCs w:val="24"/>
        </w:rPr>
        <w:t xml:space="preserve">The most valuable output of the social workforce program is not the labour — it is the evidence. A documented vocational pathway with measurable outcomes is fundable in ways that a general employment arrangement is not. The evidence you need to generate grant value from the program is simple and flows naturally from the batch tracking and operational documentation already in place.</w:t>
      </w:r>
    </w:p>
    <w:p>
      <w:r>
        <w:t xml:space="preserve"/>
      </w:r>
    </w:p>
    <w:p>
      <w:pPr>
        <w:pStyle w:val="Heading3"/>
      </w:pPr>
      <w:r>
        <w:t xml:space="preserve">What to document from day one of any social workforce hire</w:t>
      </w:r>
    </w:p>
    <w:p>
      <w:pPr>
        <w:pStyle w:val="ListParagraph"/>
        <w:numPr>
          <w:ilvl w:val="0"/>
          <w:numId w:val="2"/>
        </w:numPr>
      </w:pPr>
      <w:r>
        <w:rPr>
          <w:rFonts w:ascii="Arial" w:cs="Arial" w:eastAsia="Arial" w:hAnsi="Arial"/>
          <w:sz w:val="22"/>
          <w:szCs w:val="22"/>
        </w:rPr>
        <w:t xml:space="preserve">Entry date and referral source</w:t>
      </w:r>
    </w:p>
    <w:p>
      <w:pPr>
        <w:pStyle w:val="ListParagraph"/>
        <w:numPr>
          <w:ilvl w:val="0"/>
          <w:numId w:val="2"/>
        </w:numPr>
      </w:pPr>
      <w:r>
        <w:rPr>
          <w:rFonts w:ascii="Arial" w:cs="Arial" w:eastAsia="Arial" w:hAnsi="Arial"/>
          <w:sz w:val="22"/>
          <w:szCs w:val="22"/>
        </w:rPr>
        <w:t xml:space="preserve">Starting tier and assessed competency level</w:t>
      </w:r>
    </w:p>
    <w:p>
      <w:pPr>
        <w:pStyle w:val="ListParagraph"/>
        <w:numPr>
          <w:ilvl w:val="0"/>
          <w:numId w:val="2"/>
        </w:numPr>
      </w:pPr>
      <w:r>
        <w:rPr>
          <w:rFonts w:ascii="Arial" w:cs="Arial" w:eastAsia="Arial" w:hAnsi="Arial"/>
          <w:sz w:val="22"/>
          <w:szCs w:val="22"/>
        </w:rPr>
        <w:t xml:space="preserve">Tasks completed each session with date and duration</w:t>
      </w:r>
    </w:p>
    <w:p>
      <w:pPr>
        <w:pStyle w:val="ListParagraph"/>
        <w:numPr>
          <w:ilvl w:val="0"/>
          <w:numId w:val="2"/>
        </w:numPr>
      </w:pPr>
      <w:r>
        <w:rPr>
          <w:rFonts w:ascii="Arial" w:cs="Arial" w:eastAsia="Arial" w:hAnsi="Arial"/>
          <w:sz w:val="22"/>
          <w:szCs w:val="22"/>
        </w:rPr>
        <w:t xml:space="preserve">Batch tracking entries attributed to the worker — this creates a tangible portfolio of documented technical work</w:t>
      </w:r>
    </w:p>
    <w:p>
      <w:pPr>
        <w:pStyle w:val="ListParagraph"/>
        <w:numPr>
          <w:ilvl w:val="0"/>
          <w:numId w:val="2"/>
        </w:numPr>
      </w:pPr>
      <w:r>
        <w:rPr>
          <w:rFonts w:ascii="Arial" w:cs="Arial" w:eastAsia="Arial" w:hAnsi="Arial"/>
          <w:sz w:val="22"/>
          <w:szCs w:val="22"/>
        </w:rPr>
        <w:t xml:space="preserve">Tier progression dates and the specific milestones that triggered progression</w:t>
      </w:r>
    </w:p>
    <w:p>
      <w:pPr>
        <w:pStyle w:val="ListParagraph"/>
        <w:numPr>
          <w:ilvl w:val="0"/>
          <w:numId w:val="2"/>
        </w:numPr>
      </w:pPr>
      <w:r>
        <w:rPr>
          <w:rFonts w:ascii="Arial" w:cs="Arial" w:eastAsia="Arial" w:hAnsi="Arial"/>
          <w:sz w:val="22"/>
          <w:szCs w:val="22"/>
        </w:rPr>
        <w:t xml:space="preserve">Any external accreditation or recognition achieved — even a first aid certificate or a food handling certificate adds credibility</w:t>
      </w:r>
    </w:p>
    <w:p>
      <w:pPr>
        <w:pStyle w:val="ListParagraph"/>
        <w:numPr>
          <w:ilvl w:val="0"/>
          <w:numId w:val="2"/>
        </w:numPr>
      </w:pPr>
      <w:r>
        <w:rPr>
          <w:rFonts w:ascii="Arial" w:cs="Arial" w:eastAsia="Arial" w:hAnsi="Arial"/>
          <w:sz w:val="22"/>
          <w:szCs w:val="22"/>
        </w:rPr>
        <w:t xml:space="preserve">Exit record: reason for exit, tier reached, whether employment was secured externally, worker consent for outcome reporting</w:t>
      </w:r>
    </w:p>
    <w:p>
      <w:r>
        <w:t xml:space="preserve"/>
      </w:r>
    </w:p>
    <w:p>
      <w:pPr>
        <w:spacing w:after="100"/>
      </w:pPr>
      <w:r>
        <w:rPr>
          <w:rFonts w:ascii="Arial" w:cs="Arial" w:eastAsia="Arial" w:hAnsi="Arial"/>
          <w:sz w:val="24"/>
          <w:szCs w:val="24"/>
        </w:rPr>
        <w:t xml:space="preserve">This documentation serves four purposes simultaneously: operational record for your own workforce management, compliance evidence for wage subsidy claims, program outcome evidence for grant applications, and the foundation of a vocational credential that workers can use in future employment. A worker who leaves after completing the skilled tier has a documented record of independent batch management, quality control sign-off, and colony management in a commercial insect bioconversion operation. That is a genuine credential in an emerging industry.</w:t>
      </w:r>
    </w:p>
    <w:p>
      <w:r>
        <w:t xml:space="preserve"/>
      </w:r>
    </w:p>
    <w:p>
      <w:pPr>
        <w:pStyle w:val="Heading2"/>
      </w:pPr>
      <w:r>
        <w:t xml:space="preserve">2E — The intersection with defence and emergency management</w:t>
      </w:r>
    </w:p>
    <w:p>
      <w:pPr>
        <w:spacing w:after="100"/>
      </w:pPr>
      <w:r>
        <w:rPr>
          <w:rFonts w:ascii="Arial" w:cs="Arial" w:eastAsia="Arial" w:hAnsi="Arial"/>
          <w:sz w:val="24"/>
          <w:szCs w:val="24"/>
        </w:rPr>
        <w:t xml:space="preserve">The most strategically interesting version of this model is the one where the social workforce program and the emergency management protocol licensing overlap. Here is what that looks like in practice:</w:t>
      </w:r>
    </w:p>
    <w:p>
      <w:pPr>
        <w:spacing w:after="100"/>
      </w:pPr>
      <w:r>
        <w:rPr>
          <w:rFonts w:ascii="Arial" w:cs="Arial" w:eastAsia="Arial" w:hAnsi="Arial"/>
          <w:sz w:val="24"/>
          <w:szCs w:val="24"/>
        </w:rPr>
        <w:t xml:space="preserve">A BSFL protocol operated by trained community service workers at a regional emergency management facility in the Lockyer Valley creates a pre-positioned food security capability. In normal operations it is a vocational training program producing larvae, frass, and leachate for commercial sale. In a declared disaster it becomes an active protein production facility staffed by people who are already trained, already on-site, and already familiar with the protocol.</w:t>
      </w:r>
    </w:p>
    <w:p>
      <w:pPr>
        <w:spacing w:after="100"/>
      </w:pPr>
      <w:r>
        <w:rPr>
          <w:rFonts w:ascii="Arial" w:cs="Arial" w:eastAsia="Arial" w:hAnsi="Arial"/>
          <w:sz w:val="24"/>
          <w:szCs w:val="24"/>
        </w:rPr>
        <w:t xml:space="preserve">The funding case for this combination is significantly stronger than either component alone. It is simultaneously: a vocational employment program (fundable by Department of Employment), a food security infrastructure investment (fundable by Emergency Management Australia and LVRC), a waste diversion program (fundable by the Recycling Modernisation Fund), and a circular agriculture demonstration site (fundable by Advance Queensland). Multiple funding bodies each see their specific priority reflected in the same physical operation.</w:t>
      </w:r>
    </w:p>
    <w:p>
      <w:r>
        <w:t xml:space="preserve"/>
      </w:r>
    </w:p>
    <w:p>
      <w:pPr>
        <w:pBdr>
          <w:left w:val="single" w:color="9B59B6" w:sz="12"/>
        </w:pBdr>
        <w:spacing w:after="80" w:before="80"/>
        <w:ind w:left="360"/>
      </w:pPr>
      <w:r>
        <w:rPr>
          <w:rFonts w:ascii="Arial" w:cs="Arial" w:eastAsia="Arial" w:hAnsi="Arial"/>
          <w:color w:val="6C3483"/>
          <w:sz w:val="22"/>
          <w:szCs w:val="22"/>
        </w:rPr>
        <w:t xml:space="preserve">SCENARIO: Under D3 conditions — government actively funding distributed food security infrastructure — this combined model is one of the most fundable proposals that could be put to an emergency management authority in SEQ. The fact that it can be designed, documented, and piloted at Stage 1 scale on your property before any government involvement means that when the funding becomes available, you are not proposing a concept. You are proposing to replicate something that already works.</w:t>
      </w:r>
    </w:p>
    <w:p>
      <w:r>
        <w:t xml:space="preserve"/>
      </w:r>
    </w:p>
    <w:p>
      <w:pPr>
        <w:pStyle w:val="Heading2"/>
      </w:pPr>
      <w:r>
        <w:t xml:space="preserve">2F — Revised expected value for social workforce program</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0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Revenue or value pathway</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Normal 10yr</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Doomer 10yr</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2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Expected value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Wage subsidies — net labour cost reduction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$20,000-60,000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$25,000-70,000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 (accessible with correct partner)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$15,750-45,500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Grant funding — vocational program grants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$30,000-100,000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$50,000-200,000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$23,750-87,500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Emergency management protocol licensing (combined model)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$50,000-200,000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$150,000-600,000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normal + 25% D3 uplift</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$48,750-195,000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Reputational and licensing value — government-endorsed program strengthens commercial protocol credibility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$20,000-100,000 (licensing premium)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$30,000-150,000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$18,000-90,000</w:t>
            </w:r>
          </w:p>
        </w:tc>
      </w:tr>
      <w:tr>
        <w:trPr>
          <w:tblHeader w:val="false"/>
        </w:trP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expected value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$106,250-418,000</w:t>
            </w:r>
          </w:p>
        </w:tc>
      </w:tr>
    </w:tbl>
    <w:p>
      <w:r>
        <w:t xml:space="preserve"/>
      </w:r>
    </w:p>
    <w:p>
      <w:r>
        <w:br w:type="page"/>
      </w:r>
    </w:p>
    <w:p>
      <w:pPr>
        <w:pStyle w:val="Heading1"/>
      </w:pPr>
      <w:r>
        <w:t xml:space="preserve">Combined Portfolio Revision</w:t>
      </w:r>
    </w:p>
    <w:p>
      <w:pPr>
        <w:spacing w:after="100"/>
      </w:pPr>
      <w:r>
        <w:rPr>
          <w:rFonts w:ascii="Arial" w:cs="Arial" w:eastAsia="Arial" w:hAnsi="Arial"/>
          <w:sz w:val="24"/>
          <w:szCs w:val="24"/>
        </w:rPr>
        <w:t xml:space="preserve">The table below shows the revised expected values for both the defence and social workforce opportunities, updated from the original Speculative Opportunities document to reflect your specific background and network.</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026"/>
      </w:tblGrid>
      <w:tr>
        <w:trPr>
          <w:tblHeader/>
        </w:trPr>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Opportunity</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Original expected value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Revised expected value</w:t>
            </w:r>
          </w:p>
        </w:tc>
        <w:tc>
          <w:tcPr>
            <w:tcW w:type="dxa" w:w="2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rPr>
          <w:tblHeader w:val="false"/>
        </w:trPr>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Defence and emergency preparedness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$184,500-$828,000</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$239,500-$1,202,500</w:t>
            </w:r>
          </w:p>
        </w:tc>
        <w:tc>
          <w:tcPr>
            <w:tcW w:type="dxa" w:w="2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+$55,000-$374,500 (base services revised down, network advantage on DST and EM pathways)</w:t>
            </w:r>
          </w:p>
        </w:tc>
      </w:tr>
      <w:tr>
        <w:trPr>
          <w:tblHeader w:val="false"/>
        </w:trPr>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Social workforce program (new)</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modelled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$106,250-$418,000</w:t>
            </w:r>
          </w:p>
        </w:tc>
        <w:tc>
          <w:tcPr>
            <w:tcW w:type="dxa" w:w="2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+$106,250-$418,000</w:t>
            </w:r>
          </w:p>
        </w:tc>
      </w:tr>
      <w:tr>
        <w:trPr>
          <w:tblHeader w:val="false"/>
        </w:trPr>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Combined addition to portfolio</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+$161,250-$792,500 (revised from $221,250-$1,052,500 after base services correction)</w:t>
            </w:r>
          </w:p>
        </w:tc>
      </w:tr>
    </w:tbl>
    <w:p>
      <w:r>
        <w:t xml:space="preserve"/>
      </w:r>
    </w:p>
    <w:p>
      <w:pPr>
        <w:pStyle w:val="Heading2"/>
      </w:pPr>
      <w:r>
        <w:t xml:space="preserve">The three immediate actions with the highest expected return per hour of effort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000"/>
        <w:gridCol w:w="3826"/>
      </w:tblGrid>
      <w:tr>
        <w:trPr>
          <w:tblHeader/>
        </w:trPr>
        <w:tc>
          <w:tcPr>
            <w:tcW w:type="dxa" w:w="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Time required</w:t>
            </w:r>
          </w:p>
        </w:tc>
        <w:tc>
          <w:tcPr>
            <w:tcW w:type="dxa" w:w="3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Expected return</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 your serving defence contacts and ask the intelligence-gathering questions in Part 1B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 hours including follow-up conversations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Reveals whether DST Group has an active food security research program and who the internal champion is. Also confirms the Amberley and Oakey base services retender timeline, which determines when to begin the Broadspectrum relationship-building conversation.</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the Defence Innovation Hub portal for currently open challenge rounds relevant to food security or sustainability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minutes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a relevant round is open now, an application prepared with 6 months of yield data (from month 7 onward) is competitive. Missing an open round costs 12-18 months.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 BUSY At Work or MAX Employment in Toowoomba and describe the graduated integration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hours including a phone call and follow-up</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Establishes whether a viable referral partnership exists before you need workers. The relationship takes 3-6 months to formalise — start it now so it is ready at month 3-4 when you can absorb the first social hire.</w:t>
            </w:r>
          </w:p>
        </w:tc>
      </w:tr>
    </w:tbl>
    <w:p>
      <w:r>
        <w:t xml:space="preserve"/>
      </w:r>
    </w:p>
    <w:p>
      <w:pPr>
        <w:pBdr>
          <w:left w:val="single" w:color="1565C0" w:sz="12"/>
        </w:pBdr>
        <w:spacing w:after="80" w:before="80"/>
        <w:ind w:left="360"/>
      </w:pPr>
      <w:r>
        <w:rPr>
          <w:rFonts w:ascii="Arial" w:cs="Arial" w:eastAsia="Arial" w:hAnsi="Arial"/>
          <w:color w:val="0D47A1"/>
          <w:sz w:val="22"/>
          <w:szCs w:val="22"/>
        </w:rPr>
        <w:t xml:space="preserve">NOTE: The combined portfolio across all opportunities in both the original Speculative Opportunities document and this supplement now has an expected value of approximately $848,000-$3,847,500 over 10 years (revised down from $908,000-$4,107,500 after the base services subcontract correction), with total option value costs of under $1,000. The asymmetry between option cost and expected return is the defining feature of this portfolio. None of these are bets that require significant capital. They are positions that require time, documentation, and relationship-building — all of which are compatible with running the core operation simultaneously.</w:t>
      </w:r>
    </w:p>
    <w:p>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6" w:space="1"/>
      </w:pBd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2026-04-22T20:53:14.099Z</dcterms:created>
  <dcterms:modified xsi:type="dcterms:W3CDTF">2026-04-22T20:53:14.100Z</dcterms:modified>
</cp:coreProperties>
</file>

<file path=docProps/custom.xml><?xml version="1.0" encoding="utf-8"?>
<Properties xmlns="http://schemas.openxmlformats.org/officeDocument/2006/custom-properties" xmlns:vt="http://schemas.openxmlformats.org/officeDocument/2006/docPropsVTypes"/>
</file>